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EC" w:rsidRDefault="004E5610" w:rsidP="007A15F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62125" cy="457200"/>
            <wp:effectExtent l="0" t="0" r="9525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39" w:rsidRDefault="00A052EC" w:rsidP="00FF3FD6">
      <w:pPr>
        <w:spacing w:after="0" w:line="240" w:lineRule="auto"/>
        <w:jc w:val="center"/>
        <w:rPr>
          <w:b/>
          <w:sz w:val="26"/>
          <w:szCs w:val="26"/>
        </w:rPr>
      </w:pPr>
      <w:r w:rsidRPr="007A15FB">
        <w:rPr>
          <w:b/>
          <w:sz w:val="26"/>
          <w:szCs w:val="26"/>
        </w:rPr>
        <w:t>Zápis z</w:t>
      </w:r>
      <w:r w:rsidR="00790ABA">
        <w:rPr>
          <w:b/>
          <w:sz w:val="26"/>
          <w:szCs w:val="26"/>
        </w:rPr>
        <w:t xml:space="preserve"> </w:t>
      </w:r>
      <w:r w:rsidR="00336539">
        <w:rPr>
          <w:b/>
          <w:sz w:val="26"/>
          <w:szCs w:val="26"/>
        </w:rPr>
        <w:t>jednání</w:t>
      </w:r>
      <w:r w:rsidRPr="007A15FB">
        <w:rPr>
          <w:b/>
          <w:sz w:val="26"/>
          <w:szCs w:val="26"/>
        </w:rPr>
        <w:t xml:space="preserve"> Rady a </w:t>
      </w:r>
      <w:r w:rsidR="001978E1">
        <w:rPr>
          <w:b/>
          <w:sz w:val="26"/>
          <w:szCs w:val="26"/>
        </w:rPr>
        <w:t xml:space="preserve">vedoucích </w:t>
      </w:r>
      <w:r w:rsidRPr="007A15FB">
        <w:rPr>
          <w:b/>
          <w:sz w:val="26"/>
          <w:szCs w:val="26"/>
        </w:rPr>
        <w:t xml:space="preserve">pracovních skupin </w:t>
      </w:r>
    </w:p>
    <w:p w:rsidR="00A052EC" w:rsidRPr="00857E74" w:rsidRDefault="00A052EC" w:rsidP="00FF3FD6">
      <w:pPr>
        <w:spacing w:after="0" w:line="240" w:lineRule="auto"/>
        <w:jc w:val="center"/>
        <w:rPr>
          <w:b/>
          <w:sz w:val="26"/>
          <w:szCs w:val="26"/>
        </w:rPr>
      </w:pPr>
      <w:r w:rsidRPr="007A15FB">
        <w:rPr>
          <w:b/>
          <w:sz w:val="26"/>
          <w:szCs w:val="26"/>
        </w:rPr>
        <w:t>Centrálního portálu českých knihoven – KNIHOVNY.CZ</w:t>
      </w:r>
      <w:r w:rsidR="00857E74">
        <w:rPr>
          <w:b/>
          <w:sz w:val="26"/>
          <w:szCs w:val="26"/>
        </w:rPr>
        <w:t xml:space="preserve"> </w:t>
      </w:r>
    </w:p>
    <w:p w:rsidR="00A052EC" w:rsidRPr="007A15FB" w:rsidRDefault="00A052EC" w:rsidP="007A15FB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2"/>
        <w:gridCol w:w="7746"/>
      </w:tblGrid>
      <w:tr w:rsidR="00A052EC" w:rsidRPr="00D36136" w:rsidTr="00D36136">
        <w:tc>
          <w:tcPr>
            <w:tcW w:w="1542" w:type="dxa"/>
            <w:shd w:val="clear" w:color="auto" w:fill="FFFFFF"/>
          </w:tcPr>
          <w:p w:rsidR="00A052EC" w:rsidRPr="00D36136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Datum konání</w:t>
            </w:r>
          </w:p>
        </w:tc>
        <w:tc>
          <w:tcPr>
            <w:tcW w:w="7746" w:type="dxa"/>
          </w:tcPr>
          <w:p w:rsidR="00A052EC" w:rsidRPr="00D2095D" w:rsidRDefault="00336539" w:rsidP="00D36136">
            <w:pPr>
              <w:spacing w:after="0" w:line="240" w:lineRule="auto"/>
            </w:pPr>
            <w:r>
              <w:t>5.11.2014</w:t>
            </w:r>
          </w:p>
        </w:tc>
      </w:tr>
      <w:tr w:rsidR="00A052EC" w:rsidRPr="00D36136" w:rsidTr="00D36136">
        <w:tc>
          <w:tcPr>
            <w:tcW w:w="1542" w:type="dxa"/>
            <w:shd w:val="clear" w:color="auto" w:fill="FFFFFF"/>
          </w:tcPr>
          <w:p w:rsidR="00A052EC" w:rsidRPr="00D36136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Místo konání</w:t>
            </w:r>
          </w:p>
        </w:tc>
        <w:tc>
          <w:tcPr>
            <w:tcW w:w="7746" w:type="dxa"/>
          </w:tcPr>
          <w:p w:rsidR="00A052EC" w:rsidRPr="00D36136" w:rsidRDefault="00336539" w:rsidP="00D36136">
            <w:pPr>
              <w:spacing w:after="0" w:line="240" w:lineRule="auto"/>
            </w:pPr>
            <w:r>
              <w:t>Praha</w:t>
            </w:r>
            <w:r w:rsidR="00B950C4">
              <w:t>, MKP</w:t>
            </w:r>
          </w:p>
        </w:tc>
      </w:tr>
      <w:tr w:rsidR="00A052EC" w:rsidRPr="00D36136" w:rsidTr="00D36136">
        <w:tc>
          <w:tcPr>
            <w:tcW w:w="1542" w:type="dxa"/>
            <w:shd w:val="clear" w:color="auto" w:fill="FFFFFF"/>
          </w:tcPr>
          <w:p w:rsidR="00A052EC" w:rsidRDefault="00A052EC" w:rsidP="00D36136">
            <w:pPr>
              <w:spacing w:after="0" w:line="240" w:lineRule="auto"/>
              <w:rPr>
                <w:b/>
              </w:rPr>
            </w:pPr>
            <w:r w:rsidRPr="00D36136">
              <w:rPr>
                <w:b/>
              </w:rPr>
              <w:t>Účastníci</w:t>
            </w:r>
          </w:p>
          <w:p w:rsidR="00D2095D" w:rsidRPr="00D36136" w:rsidRDefault="00D2095D" w:rsidP="00D361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24.6.2013</w:t>
            </w:r>
          </w:p>
        </w:tc>
        <w:tc>
          <w:tcPr>
            <w:tcW w:w="7746" w:type="dxa"/>
          </w:tcPr>
          <w:p w:rsidR="00470804" w:rsidRDefault="00A052EC" w:rsidP="00D3613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70804">
              <w:rPr>
                <w:b/>
              </w:rPr>
              <w:t>Rada CPK:</w:t>
            </w:r>
            <w:r w:rsidRPr="00D36136">
              <w:t xml:space="preserve"> </w:t>
            </w:r>
            <w:r w:rsidR="00C86A87">
              <w:t xml:space="preserve">M. Lhoták (KNAV), </w:t>
            </w:r>
            <w:r w:rsidR="006F2799">
              <w:t xml:space="preserve">T. </w:t>
            </w:r>
            <w:r w:rsidR="006F2799" w:rsidRPr="006D63D7">
              <w:t>Böhm</w:t>
            </w:r>
            <w:r w:rsidR="006F2799">
              <w:t xml:space="preserve"> (NK ČR), T. Kubíček  (MZK), </w:t>
            </w:r>
            <w:r w:rsidR="00C86A87">
              <w:t>T. Řehák (MKP),</w:t>
            </w:r>
            <w:r w:rsidR="006F2799">
              <w:t xml:space="preserve"> </w:t>
            </w:r>
            <w:r w:rsidR="006A0028">
              <w:t xml:space="preserve">M. Svoboda (NTK), </w:t>
            </w:r>
            <w:r w:rsidR="00C86A87">
              <w:t xml:space="preserve"> H. Bouzková (NLK)</w:t>
            </w:r>
            <w:r w:rsidR="00773505">
              <w:t xml:space="preserve">, </w:t>
            </w:r>
            <w:r w:rsidR="00773505" w:rsidRPr="00D36136">
              <w:t xml:space="preserve"> </w:t>
            </w:r>
            <w:r w:rsidR="00773505">
              <w:t>E. Měřínská (M</w:t>
            </w:r>
            <w:r w:rsidR="0001017F">
              <w:t>ě</w:t>
            </w:r>
            <w:r w:rsidR="00773505">
              <w:t xml:space="preserve">KTa),  Z. Friedlová (KKFB), </w:t>
            </w:r>
            <w:r w:rsidR="00773505" w:rsidRPr="00D36136">
              <w:t>L. Prchalová (M</w:t>
            </w:r>
            <w:r w:rsidR="00773505">
              <w:t>SVK</w:t>
            </w:r>
            <w:r w:rsidR="00773505" w:rsidRPr="00D36136">
              <w:t>), D. Bechný (SVK</w:t>
            </w:r>
            <w:r w:rsidR="00773505">
              <w:t xml:space="preserve"> PK</w:t>
            </w:r>
            <w:r w:rsidR="00773505" w:rsidRPr="00D36136">
              <w:t>), E. Svobodová (SVKHK),</w:t>
            </w:r>
            <w:r w:rsidR="00773505">
              <w:t xml:space="preserve"> J. Holásková (VKOL), B. Konvalinková (KVKLI)</w:t>
            </w:r>
            <w:r w:rsidR="006F2799">
              <w:t>, H. Kolátorová (ÚMV), A. Brožek (SVKUL)</w:t>
            </w:r>
          </w:p>
          <w:p w:rsidR="0026711B" w:rsidRDefault="0026711B" w:rsidP="00D3613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Omluveni:</w:t>
            </w:r>
            <w:r>
              <w:t xml:space="preserve"> </w:t>
            </w:r>
            <w:r w:rsidRPr="00D36136">
              <w:t>I. Kareš (JVKČB)</w:t>
            </w:r>
            <w:r>
              <w:t xml:space="preserve">, O. Fabián (UTB), </w:t>
            </w:r>
            <w:r w:rsidR="006A0028">
              <w:t xml:space="preserve">M. Bartošek (MUNI), </w:t>
            </w:r>
            <w:r>
              <w:t>H. Sedláčková (UPOL)</w:t>
            </w:r>
            <w:r w:rsidR="000E7D6E">
              <w:t>, G. Jarkulišová (MěKKH)</w:t>
            </w:r>
          </w:p>
          <w:p w:rsidR="00A052EC" w:rsidRDefault="00A052EC" w:rsidP="00D3613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 w:rsidRPr="00470804">
              <w:rPr>
                <w:b/>
              </w:rPr>
              <w:t xml:space="preserve">Vedoucí pracovních skupin: </w:t>
            </w:r>
            <w:r w:rsidRPr="00D36136">
              <w:t xml:space="preserve">B. Stoklasová (PS pro centrální portál), </w:t>
            </w:r>
            <w:r w:rsidR="002722BF">
              <w:t>I</w:t>
            </w:r>
            <w:r w:rsidRPr="00D36136">
              <w:t xml:space="preserve">. </w:t>
            </w:r>
            <w:r w:rsidR="002722BF">
              <w:t>Burešová</w:t>
            </w:r>
            <w:r w:rsidRPr="00D36136">
              <w:t xml:space="preserve"> (PS pro informační zdroje), P. Žabička (PS pro sdí</w:t>
            </w:r>
            <w:r w:rsidR="001D1039">
              <w:t xml:space="preserve">lení identit a online platby), </w:t>
            </w:r>
            <w:r w:rsidR="002722BF">
              <w:t>K. Košťálová</w:t>
            </w:r>
            <w:r w:rsidRPr="00D36136">
              <w:t xml:space="preserve"> (PS pro MVS a DDS)</w:t>
            </w:r>
            <w:r w:rsidR="002722BF">
              <w:t>, M. Lhoták (PS pro financování a organizaci)</w:t>
            </w:r>
          </w:p>
          <w:p w:rsidR="00A052EC" w:rsidRPr="00D2095D" w:rsidRDefault="0072017B" w:rsidP="007D2D3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Další h</w:t>
            </w:r>
            <w:r w:rsidR="00A052EC" w:rsidRPr="00D36136">
              <w:rPr>
                <w:b/>
              </w:rPr>
              <w:t xml:space="preserve">osté: </w:t>
            </w:r>
            <w:r w:rsidR="00C86A87" w:rsidRPr="00C86A87">
              <w:t>L. Hanzlíková</w:t>
            </w:r>
            <w:r w:rsidR="0026711B">
              <w:t>, L. Tichý</w:t>
            </w:r>
            <w:r w:rsidR="007D2D30" w:rsidRPr="00BE1A6E">
              <w:t>, P. Lonská</w:t>
            </w:r>
          </w:p>
        </w:tc>
      </w:tr>
      <w:tr w:rsidR="00D2095D" w:rsidRPr="00D36136" w:rsidTr="00D36136">
        <w:tc>
          <w:tcPr>
            <w:tcW w:w="1542" w:type="dxa"/>
            <w:shd w:val="clear" w:color="auto" w:fill="FFFFFF"/>
          </w:tcPr>
          <w:p w:rsidR="00D5725E" w:rsidRDefault="00D5725E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t>Uvítání, představení,</w:t>
            </w:r>
          </w:p>
          <w:p w:rsidR="00D5725E" w:rsidRPr="00D36136" w:rsidRDefault="00D5725E" w:rsidP="00D36136">
            <w:pPr>
              <w:spacing w:after="0" w:line="240" w:lineRule="auto"/>
              <w:rPr>
                <w:b/>
              </w:rPr>
            </w:pPr>
            <w:r>
              <w:rPr>
                <w:b/>
                <w:color w:val="E5004B"/>
              </w:rPr>
              <w:t>harmonogram</w:t>
            </w:r>
          </w:p>
        </w:tc>
        <w:tc>
          <w:tcPr>
            <w:tcW w:w="7746" w:type="dxa"/>
          </w:tcPr>
          <w:p w:rsidR="00D5725E" w:rsidRPr="00D5725E" w:rsidRDefault="00D5725E" w:rsidP="00D36136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D5725E">
              <w:rPr>
                <w:rFonts w:asciiTheme="minorHAnsi" w:hAnsiTheme="minorHAnsi"/>
                <w:b/>
                <w:color w:val="E5004B"/>
              </w:rPr>
              <w:t>PROGRAM</w:t>
            </w:r>
          </w:p>
          <w:p w:rsidR="00D5725E" w:rsidRDefault="00D5725E" w:rsidP="00D3613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2095D" w:rsidRPr="00931951" w:rsidRDefault="00D2095D" w:rsidP="00D3613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31951">
              <w:rPr>
                <w:rFonts w:asciiTheme="minorHAnsi" w:hAnsiTheme="minorHAnsi"/>
                <w:b/>
              </w:rPr>
              <w:t>Uvítání</w:t>
            </w:r>
            <w:r w:rsidR="00DA64E1">
              <w:rPr>
                <w:rFonts w:asciiTheme="minorHAnsi" w:hAnsiTheme="minorHAnsi"/>
                <w:b/>
              </w:rPr>
              <w:t xml:space="preserve"> a představení</w:t>
            </w:r>
          </w:p>
          <w:p w:rsidR="00DA64E1" w:rsidRDefault="00D2095D" w:rsidP="00D36136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M. Lhoták uv</w:t>
            </w:r>
            <w:r w:rsidR="006B3336" w:rsidRPr="00931951">
              <w:rPr>
                <w:rFonts w:asciiTheme="minorHAnsi" w:hAnsiTheme="minorHAnsi"/>
              </w:rPr>
              <w:t>í</w:t>
            </w:r>
            <w:r w:rsidRPr="00931951">
              <w:rPr>
                <w:rFonts w:asciiTheme="minorHAnsi" w:hAnsiTheme="minorHAnsi"/>
              </w:rPr>
              <w:t>tal účastníky jednání</w:t>
            </w:r>
            <w:r w:rsidR="00DA64E1">
              <w:rPr>
                <w:rFonts w:asciiTheme="minorHAnsi" w:hAnsiTheme="minorHAnsi"/>
              </w:rPr>
              <w:t>.</w:t>
            </w:r>
            <w:r w:rsidR="00E40919">
              <w:rPr>
                <w:rFonts w:asciiTheme="minorHAnsi" w:hAnsiTheme="minorHAnsi"/>
              </w:rPr>
              <w:t xml:space="preserve"> Vzhledem k přítomnosti nových členů Rady CPK p</w:t>
            </w:r>
            <w:r w:rsidR="00DA64E1">
              <w:rPr>
                <w:rFonts w:asciiTheme="minorHAnsi" w:hAnsiTheme="minorHAnsi"/>
              </w:rPr>
              <w:t>roběhlo vzájemné představení všech účastníků jednání.</w:t>
            </w:r>
          </w:p>
          <w:p w:rsidR="00D2095D" w:rsidRPr="00931951" w:rsidRDefault="00D2095D" w:rsidP="00D3613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2095D" w:rsidRDefault="00707388" w:rsidP="00D3613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31951">
              <w:rPr>
                <w:rFonts w:asciiTheme="minorHAnsi" w:hAnsiTheme="minorHAnsi"/>
                <w:b/>
              </w:rPr>
              <w:t>Program</w:t>
            </w:r>
            <w:r w:rsidR="00875B16" w:rsidRPr="00931951">
              <w:rPr>
                <w:rFonts w:asciiTheme="minorHAnsi" w:hAnsiTheme="minorHAnsi"/>
                <w:b/>
              </w:rPr>
              <w:t xml:space="preserve"> a harmonogram</w:t>
            </w:r>
          </w:p>
          <w:p w:rsidR="00E40919" w:rsidRPr="00E40919" w:rsidRDefault="00E40919" w:rsidP="00D36136">
            <w:pPr>
              <w:spacing w:after="0" w:line="240" w:lineRule="auto"/>
              <w:rPr>
                <w:rFonts w:asciiTheme="minorHAnsi" w:hAnsiTheme="minorHAnsi"/>
              </w:rPr>
            </w:pPr>
            <w:r w:rsidRPr="00E40919">
              <w:rPr>
                <w:rFonts w:asciiTheme="minorHAnsi" w:hAnsiTheme="minorHAnsi"/>
              </w:rPr>
              <w:t xml:space="preserve">M. Lhoták </w:t>
            </w:r>
            <w:r>
              <w:rPr>
                <w:rFonts w:asciiTheme="minorHAnsi" w:hAnsiTheme="minorHAnsi"/>
              </w:rPr>
              <w:t>představil program a harmonogram celého jednání:</w:t>
            </w:r>
          </w:p>
          <w:p w:rsidR="00D2095D" w:rsidRDefault="00367570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Uvítání, úvod, představení (M. Lhoták)</w:t>
            </w:r>
          </w:p>
          <w:p w:rsidR="00367570" w:rsidRDefault="00367570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PS pro centrální portál (B. Stoklasová)</w:t>
            </w:r>
          </w:p>
          <w:p w:rsidR="00367570" w:rsidRDefault="00367570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PS pro informační zdroje (I. Burešová)</w:t>
            </w:r>
          </w:p>
          <w:p w:rsidR="00367570" w:rsidRDefault="00367570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 PS pro sdílení identit a online platby (P. Žabička)</w:t>
            </w:r>
          </w:p>
          <w:p w:rsidR="00367570" w:rsidRDefault="009A7C93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PS pro MVS a DDS (K. Košťálová)</w:t>
            </w:r>
          </w:p>
          <w:p w:rsidR="009A7C93" w:rsidRDefault="009A7C93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PS pro prioritu 19, informační část (P. Lonská)</w:t>
            </w:r>
          </w:p>
          <w:p w:rsidR="009A7C93" w:rsidRDefault="009A7C93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PS pro financování a organizaci (M. Lhoták)</w:t>
            </w:r>
          </w:p>
          <w:p w:rsidR="0026711B" w:rsidRDefault="0026711B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Cíl</w:t>
            </w:r>
            <w:r w:rsidR="00E40919">
              <w:rPr>
                <w:rFonts w:asciiTheme="minorHAnsi" w:hAnsiTheme="minorHAnsi"/>
              </w:rPr>
              <w:t xml:space="preserve"> jednání</w:t>
            </w:r>
            <w:r>
              <w:rPr>
                <w:rFonts w:asciiTheme="minorHAnsi" w:hAnsiTheme="minorHAnsi"/>
              </w:rPr>
              <w:t>: zvolení dalšího postupu</w:t>
            </w:r>
            <w:r w:rsidR="00E40919">
              <w:rPr>
                <w:rFonts w:asciiTheme="minorHAnsi" w:hAnsiTheme="minorHAnsi"/>
              </w:rPr>
              <w:t xml:space="preserve"> realizace CPK</w:t>
            </w:r>
          </w:p>
          <w:p w:rsidR="00D5725E" w:rsidRDefault="00D5725E" w:rsidP="006F2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5725E" w:rsidRDefault="00D5725E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Lhoták připomněl dokumenty, které zaslal členům Rady jako podklady pro jednání:</w:t>
            </w:r>
          </w:p>
          <w:p w:rsidR="00D5725E" w:rsidRDefault="00D5725E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Požadavky na dodavatele (podklad pro RFP II)</w:t>
            </w:r>
          </w:p>
          <w:p w:rsidR="00D5725E" w:rsidRDefault="00D5725E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Projektový záměr verze 4 (plná verze)</w:t>
            </w:r>
          </w:p>
          <w:p w:rsidR="00D5725E" w:rsidRDefault="00D5725E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Projektový záměr verze 4 (light verze)</w:t>
            </w:r>
          </w:p>
          <w:p w:rsidR="00D5725E" w:rsidRDefault="00D5725E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 Návrh Smlouvy o spolupráci</w:t>
            </w:r>
          </w:p>
          <w:p w:rsidR="00D5725E" w:rsidRDefault="00D5725E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Tabulka s rozpisem vkladu zakládajících knihoven</w:t>
            </w:r>
          </w:p>
          <w:p w:rsidR="00E40919" w:rsidRDefault="00E40919" w:rsidP="006F2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40919" w:rsidRDefault="00E40919" w:rsidP="006F2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T. Řehák a M. Svoboda doporučili, aby před prezentacemi vedoucích pracovních skupin proběhla debata o strategických otázkách dalšího směrování CPK. M. Lhoták trval na zařazení prezentací vedoucích pracovních skupin před diskusi o strategických otázkách s ohledem na skutečnost, že prezentace obsahují důležité informace, které by měli členové Rady CPK před diskusí vyslechnout.</w:t>
            </w:r>
            <w:r w:rsidR="009032B1">
              <w:rPr>
                <w:rFonts w:asciiTheme="minorHAnsi" w:hAnsiTheme="minorHAnsi"/>
              </w:rPr>
              <w:t xml:space="preserve"> </w:t>
            </w:r>
          </w:p>
          <w:p w:rsidR="006F2799" w:rsidRPr="006F2799" w:rsidRDefault="00E40919" w:rsidP="009032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Následovaly prezentace vedoucích pracovních skupin. </w:t>
            </w:r>
          </w:p>
        </w:tc>
      </w:tr>
      <w:tr w:rsidR="00D2095D" w:rsidRPr="00D36136" w:rsidTr="007C5BA2">
        <w:tc>
          <w:tcPr>
            <w:tcW w:w="1542" w:type="dxa"/>
            <w:shd w:val="clear" w:color="auto" w:fill="FFFFFF"/>
          </w:tcPr>
          <w:p w:rsidR="004357F0" w:rsidRPr="009F7FC0" w:rsidRDefault="004357F0" w:rsidP="004357F0">
            <w:pPr>
              <w:spacing w:after="0" w:line="240" w:lineRule="auto"/>
              <w:rPr>
                <w:b/>
                <w:color w:val="E5004B"/>
              </w:rPr>
            </w:pPr>
            <w:r w:rsidRPr="009F7FC0">
              <w:rPr>
                <w:b/>
                <w:color w:val="E5004B"/>
              </w:rPr>
              <w:lastRenderedPageBreak/>
              <w:t>Zprávy vedoucích pracovních skupin</w:t>
            </w:r>
          </w:p>
          <w:p w:rsidR="00D2095D" w:rsidRDefault="00D2095D" w:rsidP="00D36136">
            <w:pPr>
              <w:spacing w:after="0" w:line="240" w:lineRule="auto"/>
              <w:rPr>
                <w:b/>
              </w:rPr>
            </w:pPr>
          </w:p>
          <w:p w:rsidR="004357F0" w:rsidRDefault="004357F0" w:rsidP="00D36136">
            <w:pPr>
              <w:spacing w:after="0" w:line="240" w:lineRule="auto"/>
              <w:rPr>
                <w:b/>
              </w:rPr>
            </w:pPr>
          </w:p>
          <w:p w:rsidR="004357F0" w:rsidRDefault="004357F0" w:rsidP="00D36136">
            <w:pPr>
              <w:spacing w:after="0" w:line="240" w:lineRule="auto"/>
              <w:rPr>
                <w:b/>
              </w:rPr>
            </w:pPr>
          </w:p>
          <w:p w:rsidR="004357F0" w:rsidRDefault="004357F0" w:rsidP="00D36136">
            <w:pPr>
              <w:spacing w:after="0" w:line="240" w:lineRule="auto"/>
              <w:rPr>
                <w:b/>
              </w:rPr>
            </w:pPr>
          </w:p>
          <w:p w:rsidR="004357F0" w:rsidRDefault="004357F0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7A6337" w:rsidRDefault="007A6337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Default="005625FC" w:rsidP="00D36136">
            <w:pPr>
              <w:spacing w:after="0" w:line="240" w:lineRule="auto"/>
              <w:rPr>
                <w:b/>
              </w:rPr>
            </w:pPr>
          </w:p>
          <w:p w:rsidR="005625FC" w:rsidRPr="00D36136" w:rsidRDefault="005625FC" w:rsidP="00D36136">
            <w:pPr>
              <w:spacing w:after="0" w:line="240" w:lineRule="auto"/>
              <w:rPr>
                <w:b/>
              </w:rPr>
            </w:pPr>
          </w:p>
        </w:tc>
        <w:tc>
          <w:tcPr>
            <w:tcW w:w="7746" w:type="dxa"/>
          </w:tcPr>
          <w:p w:rsidR="009F7FC0" w:rsidRDefault="00504BC3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Vedoucí všech pracovních skupin prezentovali v</w:t>
            </w:r>
            <w:r w:rsidR="00D5725E">
              <w:rPr>
                <w:rFonts w:asciiTheme="minorHAnsi" w:hAnsiTheme="minorHAnsi"/>
              </w:rPr>
              <w:t>ýsledky práce svých skupin za období červenec-listopad</w:t>
            </w:r>
            <w:r w:rsidRPr="00931951">
              <w:rPr>
                <w:rFonts w:asciiTheme="minorHAnsi" w:hAnsiTheme="minorHAnsi"/>
              </w:rPr>
              <w:t xml:space="preserve"> 2014</w:t>
            </w:r>
            <w:r w:rsidR="00D5725E">
              <w:rPr>
                <w:rFonts w:asciiTheme="minorHAnsi" w:hAnsiTheme="minorHAnsi"/>
              </w:rPr>
              <w:t xml:space="preserve"> a reakce na RFP II. Prezentace </w:t>
            </w:r>
            <w:r w:rsidR="009F7FC0" w:rsidRPr="00931951">
              <w:rPr>
                <w:rFonts w:asciiTheme="minorHAnsi" w:hAnsiTheme="minorHAnsi"/>
              </w:rPr>
              <w:t>měly jednotnou osnovu</w:t>
            </w:r>
            <w:r w:rsidR="007A6337" w:rsidRPr="00931951">
              <w:rPr>
                <w:rFonts w:asciiTheme="minorHAnsi" w:hAnsiTheme="minorHAnsi"/>
              </w:rPr>
              <w:t>:</w:t>
            </w:r>
          </w:p>
          <w:p w:rsidR="007925D4" w:rsidRPr="00544E7F" w:rsidRDefault="001C5775" w:rsidP="00544E7F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544E7F">
              <w:rPr>
                <w:rFonts w:asciiTheme="minorHAnsi" w:hAnsiTheme="minorHAnsi"/>
                <w:bCs/>
              </w:rPr>
              <w:t>Hlavní výstupy PS pro CP za období červenec-listopad 2014</w:t>
            </w:r>
          </w:p>
          <w:p w:rsidR="007925D4" w:rsidRPr="00544E7F" w:rsidRDefault="001C5775" w:rsidP="00544E7F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544E7F">
              <w:rPr>
                <w:rFonts w:asciiTheme="minorHAnsi" w:hAnsiTheme="minorHAnsi"/>
                <w:bCs/>
              </w:rPr>
              <w:t>Plnění doporučení Rady</w:t>
            </w:r>
            <w:r w:rsidR="00544E7F">
              <w:rPr>
                <w:rFonts w:asciiTheme="minorHAnsi" w:hAnsiTheme="minorHAnsi"/>
                <w:bCs/>
              </w:rPr>
              <w:t xml:space="preserve"> CPK (Zápis z jednání Rady CPK </w:t>
            </w:r>
            <w:r w:rsidRPr="00544E7F">
              <w:rPr>
                <w:rFonts w:asciiTheme="minorHAnsi" w:hAnsiTheme="minorHAnsi"/>
                <w:bCs/>
              </w:rPr>
              <w:t>24.-25.6.2014)</w:t>
            </w:r>
          </w:p>
          <w:p w:rsidR="007925D4" w:rsidRPr="00544E7F" w:rsidRDefault="001C5775" w:rsidP="00544E7F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544E7F">
              <w:rPr>
                <w:rFonts w:asciiTheme="minorHAnsi" w:hAnsiTheme="minorHAnsi"/>
                <w:bCs/>
              </w:rPr>
              <w:t>Komentář k reakcím firem týkajícím se problematiky PS pro CP</w:t>
            </w:r>
          </w:p>
          <w:p w:rsidR="007925D4" w:rsidRPr="00544E7F" w:rsidRDefault="001C5775" w:rsidP="00544E7F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/>
              </w:rPr>
            </w:pPr>
            <w:r w:rsidRPr="00544E7F">
              <w:rPr>
                <w:rFonts w:asciiTheme="minorHAnsi" w:hAnsiTheme="minorHAnsi"/>
                <w:bCs/>
              </w:rPr>
              <w:t>Různé</w:t>
            </w:r>
          </w:p>
          <w:p w:rsidR="009032B1" w:rsidRDefault="009032B1" w:rsidP="009032B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 zápise jsou uvedeny odkazy na všechny prezentace, proto jsou zde vytaženy pouze části podstatné pro následující strategickou diskusi.</w:t>
            </w:r>
          </w:p>
          <w:p w:rsidR="00544E7F" w:rsidRDefault="00544E7F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931951">
              <w:rPr>
                <w:rFonts w:asciiTheme="minorHAnsi" w:hAnsiTheme="minorHAnsi"/>
                <w:b/>
                <w:color w:val="E5004B"/>
              </w:rPr>
              <w:t>PS pro CP</w:t>
            </w:r>
          </w:p>
          <w:p w:rsidR="0072017B" w:rsidRDefault="009F7FC0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Zprávu za Pracovní skupinu pro CP</w:t>
            </w:r>
            <w:r w:rsidR="008171DA">
              <w:rPr>
                <w:rFonts w:asciiTheme="minorHAnsi" w:hAnsiTheme="minorHAnsi"/>
              </w:rPr>
              <w:t xml:space="preserve"> </w:t>
            </w:r>
            <w:r w:rsidRPr="00931951">
              <w:rPr>
                <w:rFonts w:asciiTheme="minorHAnsi" w:hAnsiTheme="minorHAnsi"/>
              </w:rPr>
              <w:t>prezentovala její vedoucí B. Stoklasová.</w:t>
            </w:r>
          </w:p>
          <w:p w:rsidR="000703D5" w:rsidRDefault="000703D5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703D5" w:rsidRDefault="000703D5" w:rsidP="007C5BA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Stoklasová zrekapitulovala výsledky práce PS pro CP a upozornila na skutečnost, že podklady mají určité slabiny v oblasti lokálních zdrojů, s nimiž nemají v rozsahu nutném pro projekt </w:t>
            </w:r>
            <w:r w:rsidR="00813DF9">
              <w:rPr>
                <w:rFonts w:asciiTheme="minorHAnsi" w:hAnsiTheme="minorHAnsi"/>
              </w:rPr>
              <w:t xml:space="preserve">typu </w:t>
            </w:r>
            <w:r>
              <w:rPr>
                <w:rFonts w:asciiTheme="minorHAnsi" w:hAnsiTheme="minorHAnsi"/>
              </w:rPr>
              <w:t>CPK dost zkušeností ani členové PS pro CP, ani potenciální dodavatelé.</w:t>
            </w:r>
          </w:p>
          <w:p w:rsidR="00B007B6" w:rsidRDefault="00B007B6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4C3C" w:rsidRDefault="007A4C3C" w:rsidP="007C5BA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Stoklasová </w:t>
            </w:r>
            <w:r w:rsidR="000703D5">
              <w:rPr>
                <w:rFonts w:asciiTheme="minorHAnsi" w:hAnsiTheme="minorHAnsi"/>
              </w:rPr>
              <w:t xml:space="preserve">též </w:t>
            </w:r>
            <w:r>
              <w:rPr>
                <w:rFonts w:asciiTheme="minorHAnsi" w:hAnsiTheme="minorHAnsi"/>
              </w:rPr>
              <w:t>upozornila na některé rozpory v požadavcích na práci PS pro CP, které je nutné odstranit:</w:t>
            </w:r>
          </w:p>
          <w:p w:rsidR="00632D9E" w:rsidRPr="007A4C3C" w:rsidRDefault="008F2C35" w:rsidP="007A4C3C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</w:rPr>
            </w:pPr>
            <w:r w:rsidRPr="007A4C3C">
              <w:rPr>
                <w:rFonts w:asciiTheme="minorHAnsi" w:hAnsiTheme="minorHAnsi"/>
                <w:bCs/>
              </w:rPr>
              <w:t>Na svém zasedání 13.11.2013 požadovala Rada zúžení zadání pro dodavatele technologického řešení CPK</w:t>
            </w:r>
            <w:r w:rsidR="007A4C3C">
              <w:rPr>
                <w:rFonts w:asciiTheme="minorHAnsi" w:hAnsiTheme="minorHAnsi"/>
                <w:bCs/>
              </w:rPr>
              <w:t xml:space="preserve"> (viz zápis)</w:t>
            </w:r>
          </w:p>
          <w:p w:rsidR="00632D9E" w:rsidRPr="007A4C3C" w:rsidRDefault="008F2C35" w:rsidP="007A4C3C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</w:rPr>
            </w:pPr>
            <w:r w:rsidRPr="007A4C3C">
              <w:rPr>
                <w:rFonts w:asciiTheme="minorHAnsi" w:hAnsiTheme="minorHAnsi"/>
                <w:bCs/>
              </w:rPr>
              <w:t xml:space="preserve">Na </w:t>
            </w:r>
            <w:r w:rsidR="009E309B">
              <w:rPr>
                <w:rFonts w:asciiTheme="minorHAnsi" w:hAnsiTheme="minorHAnsi"/>
                <w:bCs/>
              </w:rPr>
              <w:t xml:space="preserve">svém zasedání 24.-25.6. </w:t>
            </w:r>
            <w:r w:rsidRPr="007A4C3C">
              <w:rPr>
                <w:rFonts w:asciiTheme="minorHAnsi" w:hAnsiTheme="minorHAnsi"/>
                <w:bCs/>
              </w:rPr>
              <w:t>požadovala Rada zapracování scénářů</w:t>
            </w:r>
            <w:r w:rsidR="007A4C3C">
              <w:rPr>
                <w:rFonts w:asciiTheme="minorHAnsi" w:hAnsiTheme="minorHAnsi"/>
                <w:bCs/>
              </w:rPr>
              <w:t xml:space="preserve"> (viz zápis)</w:t>
            </w:r>
          </w:p>
          <w:p w:rsidR="00632D9E" w:rsidRPr="007A4C3C" w:rsidRDefault="008F2C35" w:rsidP="007A4C3C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</w:rPr>
            </w:pPr>
            <w:r w:rsidRPr="007A4C3C">
              <w:rPr>
                <w:rFonts w:asciiTheme="minorHAnsi" w:hAnsiTheme="minorHAnsi"/>
                <w:bCs/>
              </w:rPr>
              <w:t>Scénáře již ve své počáteční fázi naznačují nutnost rozšíření zadání</w:t>
            </w:r>
          </w:p>
          <w:p w:rsidR="00632D9E" w:rsidRPr="007A4C3C" w:rsidRDefault="008F2C35" w:rsidP="007A4C3C">
            <w:pPr>
              <w:pStyle w:val="Odstavecseseznamem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/>
              </w:rPr>
            </w:pPr>
            <w:r w:rsidRPr="007A4C3C">
              <w:rPr>
                <w:rFonts w:asciiTheme="minorHAnsi" w:hAnsiTheme="minorHAnsi"/>
                <w:bCs/>
              </w:rPr>
              <w:t>PS pracují na základě zadání Rady, ale jak mají postupovat v případě rozporů? Ze zasedání Rady 5.11. by mělo vzejít jednoznačné doporučení pro další práci PS.</w:t>
            </w:r>
          </w:p>
          <w:p w:rsidR="007A4C3C" w:rsidRDefault="007A4C3C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4C3C" w:rsidRDefault="007A4C3C" w:rsidP="007A4C3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 prezentaci B. Stoklasová </w:t>
            </w:r>
            <w:r w:rsidR="000703D5">
              <w:rPr>
                <w:rFonts w:asciiTheme="minorHAnsi" w:hAnsiTheme="minorHAnsi"/>
              </w:rPr>
              <w:t>uvedla</w:t>
            </w:r>
            <w:r>
              <w:rPr>
                <w:rFonts w:asciiTheme="minorHAnsi" w:hAnsiTheme="minorHAnsi"/>
              </w:rPr>
              <w:t xml:space="preserve"> důsledky doporučení Rady CPK na povinné dodání metavyhledávače (federativního či paralelního vyhledávače) v rámci výběrového řízení. Někteří dodavatelé považují metavyhledávač za technologický anachronismus a navrhují tuto cestu v rámci CPK opustit a integrovat zdroje přímo do indexu/indexů a zpřístupnit přes discovery systém. Podle dodaných kalkulací by však integrace více než 500 zdrojů integrovaných nyní do JIB byla velmi </w:t>
            </w:r>
            <w:r w:rsidR="00A673ED">
              <w:rPr>
                <w:rFonts w:asciiTheme="minorHAnsi" w:hAnsiTheme="minorHAnsi"/>
              </w:rPr>
              <w:t xml:space="preserve">nákladná </w:t>
            </w:r>
            <w:r>
              <w:rPr>
                <w:rFonts w:asciiTheme="minorHAnsi" w:hAnsiTheme="minorHAnsi"/>
              </w:rPr>
              <w:t>a zachování metavyhledávače je prozatím nutné. Je třeba zdroje posoudit s ohledem na míru jejich využití, postupně zredukovat a integrovat přímo do indexu.</w:t>
            </w:r>
          </w:p>
          <w:p w:rsidR="000703D5" w:rsidRDefault="000703D5" w:rsidP="007A4C3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703D5" w:rsidRDefault="000703D5" w:rsidP="007A4C3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závěr prezentace položila B. Stoklasová členům Rady několik zásadních dotazů:</w:t>
            </w:r>
          </w:p>
          <w:p w:rsidR="00632D9E" w:rsidRPr="000703D5" w:rsidRDefault="008F2C35" w:rsidP="000703D5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0703D5">
              <w:rPr>
                <w:rFonts w:asciiTheme="minorHAnsi" w:hAnsiTheme="minorHAnsi"/>
                <w:bCs/>
              </w:rPr>
              <w:t>Platí požadavek na zúžení zadání, abychom se vešli do peněz a stihli termín realizace v roce 2015? Pokud ano, jak naložíme se scénáři?</w:t>
            </w:r>
          </w:p>
          <w:p w:rsidR="00632D9E" w:rsidRPr="000703D5" w:rsidRDefault="008F2C35" w:rsidP="000703D5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0703D5">
              <w:rPr>
                <w:rFonts w:asciiTheme="minorHAnsi" w:hAnsiTheme="minorHAnsi"/>
                <w:bCs/>
              </w:rPr>
              <w:t xml:space="preserve">Budeme v rámci VŘ povinně požadovat dodání metavyhledávače? Opravdu se jedná o anachronismus, jen ho nelze nahradit ihned. Není vhodnější nechat doběhnout fungující JIB (po dobu pilotní fáze projektu), udělat analýzu (kategorizaci) zapojených zdrojů a postupně je (ne všechny) převést do lokálního indexu? </w:t>
            </w:r>
          </w:p>
          <w:p w:rsidR="00632D9E" w:rsidRPr="000703D5" w:rsidRDefault="008F2C35" w:rsidP="000703D5">
            <w:pPr>
              <w:pStyle w:val="Odstavecseseznamem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0703D5">
              <w:rPr>
                <w:rFonts w:asciiTheme="minorHAnsi" w:hAnsiTheme="minorHAnsi"/>
                <w:bCs/>
              </w:rPr>
              <w:t>Je varianta SaaS vhodná i pro budování a správu lokálního indexu?</w:t>
            </w:r>
          </w:p>
          <w:p w:rsidR="000703D5" w:rsidRPr="000703D5" w:rsidRDefault="000703D5" w:rsidP="000703D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931951">
              <w:rPr>
                <w:rFonts w:asciiTheme="minorHAnsi" w:hAnsiTheme="minorHAnsi"/>
                <w:b/>
                <w:color w:val="E5004B"/>
              </w:rPr>
              <w:t>PS pro informační zdroje</w:t>
            </w:r>
          </w:p>
          <w:p w:rsidR="00E54235" w:rsidRDefault="00E54235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Zprávu za pracovní skupinu pro informační zdroje </w:t>
            </w:r>
            <w:r w:rsidR="009C501C" w:rsidRPr="00931951">
              <w:rPr>
                <w:rFonts w:asciiTheme="minorHAnsi" w:hAnsiTheme="minorHAnsi"/>
              </w:rPr>
              <w:t>prezentovala její vedoucí I. Burešová.</w:t>
            </w:r>
          </w:p>
          <w:p w:rsidR="00A673ED" w:rsidRDefault="00A673ED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673ED" w:rsidRPr="00931951" w:rsidRDefault="00A673ED" w:rsidP="007C5BA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I. Burešová informovala o aktualizaci seznamu zdrojů určených pro integraci do CPK, rozdělení zdrojů do kategorií i o počtu zdrojů v jednotlivých kategoriích. U lokálních zdrojů zdůraznila, že zapojení</w:t>
            </w:r>
            <w:r w:rsidR="005E2D79">
              <w:rPr>
                <w:rFonts w:asciiTheme="minorHAnsi" w:hAnsiTheme="minorHAnsi"/>
              </w:rPr>
              <w:t xml:space="preserve"> do lokálního indexu bude požadováno</w:t>
            </w:r>
            <w:r>
              <w:rPr>
                <w:rFonts w:asciiTheme="minorHAnsi" w:hAnsiTheme="minorHAnsi"/>
              </w:rPr>
              <w:t xml:space="preserve"> pouze těch zdrojů, u kterých se podaří SDRUKu dojednat </w:t>
            </w:r>
            <w:r w:rsidR="005E2D79">
              <w:rPr>
                <w:rFonts w:asciiTheme="minorHAnsi" w:hAnsiTheme="minorHAnsi"/>
              </w:rPr>
              <w:t>vyhovující technické i finanční podmínky. PS pro informační zdroje rovněž doporučila pokračování JIB a postupnou selekci zdrojů pro zapojení do lokálního indexu.</w:t>
            </w:r>
          </w:p>
          <w:p w:rsidR="00D22C13" w:rsidRPr="00931951" w:rsidRDefault="00D22C13" w:rsidP="007C5BA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931951">
              <w:rPr>
                <w:rFonts w:asciiTheme="minorHAnsi" w:hAnsiTheme="minorHAnsi"/>
                <w:b/>
                <w:color w:val="E5004B"/>
              </w:rPr>
              <w:t>PS pro identity a online platby</w:t>
            </w:r>
          </w:p>
          <w:p w:rsidR="008309FA" w:rsidRDefault="00E54235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Zprávu za pracovní skupinu pro identity a online platby </w:t>
            </w:r>
            <w:r w:rsidR="008309FA" w:rsidRPr="00931951">
              <w:rPr>
                <w:rFonts w:asciiTheme="minorHAnsi" w:hAnsiTheme="minorHAnsi"/>
              </w:rPr>
              <w:t>prezentoval její vedoucí P. Žabička</w:t>
            </w:r>
            <w:r w:rsidR="00B95A11" w:rsidRPr="00931951">
              <w:rPr>
                <w:rFonts w:asciiTheme="minorHAnsi" w:hAnsiTheme="minorHAnsi"/>
              </w:rPr>
              <w:t>.</w:t>
            </w:r>
          </w:p>
          <w:p w:rsidR="005E2D79" w:rsidRDefault="005E2D79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5E2D79" w:rsidRDefault="005E2D79" w:rsidP="007C5BA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P. Žabička informoval o pozitivních zkušenostech s online platbami v MZK, na které mohou navázat ostatní knihovny se systémem ALEPH. Informoval o variantách peněžních plateb pro další knihovny, o přípravě registrace pomocí mojeID a zapojení do eduID. </w:t>
            </w:r>
            <w:r w:rsidR="00CC5170">
              <w:rPr>
                <w:rFonts w:asciiTheme="minorHAnsi" w:hAnsiTheme="minorHAnsi"/>
              </w:rPr>
              <w:t>Upozornil</w:t>
            </w:r>
            <w:r>
              <w:rPr>
                <w:rFonts w:asciiTheme="minorHAnsi" w:hAnsiTheme="minorHAnsi"/>
              </w:rPr>
              <w:t xml:space="preserve"> na nutnost koordinace projektů podávaných do VISK 8/B v oblasti interoperability a přípravných prací na integraci knihoven do CPK.</w:t>
            </w:r>
            <w:r w:rsidR="00CC5170">
              <w:rPr>
                <w:rFonts w:asciiTheme="minorHAnsi" w:hAnsiTheme="minorHAnsi"/>
              </w:rPr>
              <w:t xml:space="preserve"> Upozornil na pomalý postup testování rozhraní knihovních systémů pro zapojení do CPK i zprovozňování dalších služeb a vyslovil pochybnost o připravenosti zakládajících knihoven pro zapojení do CPK. Připomněl nutnost těsnější spolupráce CPK a SK ČR i absenci jednotné koncepce zahrnující všechny centrální slu</w:t>
            </w:r>
            <w:r w:rsidR="000471C5">
              <w:rPr>
                <w:rFonts w:asciiTheme="minorHAnsi" w:hAnsiTheme="minorHAnsi"/>
              </w:rPr>
              <w:t xml:space="preserve">žby (CPK? SK ČR? JIB, ale i RD, </w:t>
            </w:r>
            <w:r w:rsidR="00CC5170">
              <w:rPr>
                <w:rFonts w:asciiTheme="minorHAnsi" w:hAnsiTheme="minorHAnsi"/>
              </w:rPr>
              <w:t xml:space="preserve">VDK atd. Jako riziko projektu označil zapojení malého počtu knihoven – již od počátku by se měly zapojit všechny centrální, krajské a další významné knihovny. Na závěr informoval o zkušenostech </w:t>
            </w:r>
            <w:r w:rsidR="00E6191E">
              <w:rPr>
                <w:rFonts w:asciiTheme="minorHAnsi" w:hAnsiTheme="minorHAnsi"/>
              </w:rPr>
              <w:t xml:space="preserve">MZK </w:t>
            </w:r>
            <w:r w:rsidR="00CC5170">
              <w:rPr>
                <w:rFonts w:asciiTheme="minorHAnsi" w:hAnsiTheme="minorHAnsi"/>
              </w:rPr>
              <w:t xml:space="preserve">se zapojováním lokálních zdrojů </w:t>
            </w:r>
            <w:r w:rsidR="00E6191E">
              <w:rPr>
                <w:rFonts w:asciiTheme="minorHAnsi" w:hAnsiTheme="minorHAnsi"/>
              </w:rPr>
              <w:t>a jednáním s jejich producenty.</w:t>
            </w:r>
          </w:p>
          <w:p w:rsidR="00B95A11" w:rsidRPr="00931951" w:rsidRDefault="00B95A11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931951">
              <w:rPr>
                <w:rFonts w:asciiTheme="minorHAnsi" w:hAnsiTheme="minorHAnsi"/>
                <w:b/>
                <w:color w:val="E5004B"/>
              </w:rPr>
              <w:t>PS pro MVS a DDS</w:t>
            </w:r>
          </w:p>
          <w:p w:rsidR="00E6019C" w:rsidRDefault="00E6019C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>Zprávu za pracovní skupinu pro MVS a DDS</w:t>
            </w:r>
            <w:r w:rsidR="001616CB" w:rsidRPr="00931951">
              <w:rPr>
                <w:rFonts w:asciiTheme="minorHAnsi" w:hAnsiTheme="minorHAnsi"/>
              </w:rPr>
              <w:t>prezentovala její vedoucí K. Košťálová.</w:t>
            </w:r>
          </w:p>
          <w:p w:rsidR="000471C5" w:rsidRDefault="000471C5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471C5" w:rsidRDefault="000471C5" w:rsidP="000471C5">
            <w:pPr>
              <w:tabs>
                <w:tab w:val="left" w:pos="4971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Košťálová informovala o stavu prací směřujících k tomu, aby se VPK stala kompletním nástrojem pro poskytování meziknihovních služeb. Probíhá testování propojení SK ČR a VPK a jednání o vstupu NK ČR do systému VPK. Upozornila na potřebu zapojení dalších knihoven (především zakládajících a partnerských knihoven CPK a krajských knihoven dosud nezapojených do CPK). Přiblížila výsledky testování open source systému FulfiLLment pro Využití v rámci MVS. Na základě výsledků testování </w:t>
            </w:r>
            <w:r w:rsidR="00102B14">
              <w:rPr>
                <w:rFonts w:asciiTheme="minorHAnsi" w:hAnsiTheme="minorHAnsi"/>
              </w:rPr>
              <w:t>PS doporučila modifikaci existujících nástrojů VPK. K. Košťálová upozornila na úskalí zasílání výpůjček z jiné knihovny čtenářům domů. Informovala též o výběru dodavatele poštovních služeb. K reakcím potenciálních dodavatelů v rámci RFP II uvedla K.Košťálová stanovisko PS:</w:t>
            </w:r>
          </w:p>
          <w:p w:rsidR="00444D08" w:rsidRPr="00102B14" w:rsidRDefault="00444D08" w:rsidP="00102B14">
            <w:pPr>
              <w:pStyle w:val="Odstavecseseznamem"/>
              <w:numPr>
                <w:ilvl w:val="0"/>
                <w:numId w:val="42"/>
              </w:numPr>
              <w:tabs>
                <w:tab w:val="left" w:pos="4971"/>
              </w:tabs>
              <w:spacing w:after="0" w:line="240" w:lineRule="auto"/>
              <w:rPr>
                <w:rFonts w:asciiTheme="minorHAnsi" w:hAnsiTheme="minorHAnsi"/>
              </w:rPr>
            </w:pPr>
            <w:r w:rsidRPr="00102B14">
              <w:rPr>
                <w:rFonts w:asciiTheme="minorHAnsi" w:hAnsiTheme="minorHAnsi"/>
                <w:bCs/>
              </w:rPr>
              <w:t>z pohledu PS je pro poskytování MVS a DDS podstatné zapojení českých zdrojů (katalogy knihoven, digitální knihovny atd.) do CPK</w:t>
            </w:r>
          </w:p>
          <w:p w:rsidR="00444D08" w:rsidRPr="00102B14" w:rsidRDefault="00444D08" w:rsidP="00102B14">
            <w:pPr>
              <w:pStyle w:val="Odstavecseseznamem"/>
              <w:numPr>
                <w:ilvl w:val="0"/>
                <w:numId w:val="42"/>
              </w:numPr>
              <w:tabs>
                <w:tab w:val="left" w:pos="4971"/>
              </w:tabs>
              <w:spacing w:after="0" w:line="240" w:lineRule="auto"/>
              <w:rPr>
                <w:rFonts w:asciiTheme="minorHAnsi" w:hAnsiTheme="minorHAnsi"/>
              </w:rPr>
            </w:pPr>
            <w:r w:rsidRPr="00102B14">
              <w:rPr>
                <w:rFonts w:asciiTheme="minorHAnsi" w:hAnsiTheme="minorHAnsi"/>
                <w:bCs/>
              </w:rPr>
              <w:t>dodavatelé se soustředili především na technické řešení a rozporování požadavku na integraci metavyhledávače, v aktuálních komentářích dodavatelů již nejsou zmiňovány např. podrobnosti k zobrazování aktuální</w:t>
            </w:r>
            <w:r w:rsidRPr="00102B14">
              <w:rPr>
                <w:rFonts w:asciiTheme="minorHAnsi" w:hAnsiTheme="minorHAnsi"/>
                <w:b/>
                <w:bCs/>
              </w:rPr>
              <w:t xml:space="preserve"> </w:t>
            </w:r>
            <w:r w:rsidRPr="00102B14">
              <w:rPr>
                <w:rFonts w:asciiTheme="minorHAnsi" w:hAnsiTheme="minorHAnsi"/>
                <w:bCs/>
              </w:rPr>
              <w:t xml:space="preserve">dostupnosti, které jsou pro MVS a DDS podstatné </w:t>
            </w:r>
          </w:p>
          <w:p w:rsidR="00102B14" w:rsidRPr="00931951" w:rsidRDefault="00102B14" w:rsidP="000471C5">
            <w:pPr>
              <w:tabs>
                <w:tab w:val="left" w:pos="4971"/>
              </w:tabs>
              <w:spacing w:after="0" w:line="240" w:lineRule="auto"/>
              <w:rPr>
                <w:rFonts w:asciiTheme="minorHAnsi" w:hAnsiTheme="minorHAnsi"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931951">
              <w:rPr>
                <w:rFonts w:asciiTheme="minorHAnsi" w:hAnsiTheme="minorHAnsi"/>
                <w:b/>
                <w:color w:val="E5004B"/>
              </w:rPr>
              <w:t>Informační část CPK – Priorita 19</w:t>
            </w:r>
          </w:p>
          <w:p w:rsidR="00E6019C" w:rsidRDefault="00E6019C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Zprávu </w:t>
            </w:r>
            <w:r w:rsidR="00291979" w:rsidRPr="00931951">
              <w:rPr>
                <w:rFonts w:asciiTheme="minorHAnsi" w:hAnsiTheme="minorHAnsi"/>
              </w:rPr>
              <w:t>o stavu informační části portálu KNIHOVNY.CZ prezentovala jménem PS</w:t>
            </w:r>
            <w:r w:rsidR="000E7D6E">
              <w:rPr>
                <w:rFonts w:asciiTheme="minorHAnsi" w:hAnsiTheme="minorHAnsi"/>
              </w:rPr>
              <w:t xml:space="preserve"> Priority 19 Koncepce P. Lonská</w:t>
            </w:r>
            <w:r w:rsidR="008171DA">
              <w:rPr>
                <w:rFonts w:asciiTheme="minorHAnsi" w:hAnsiTheme="minorHAnsi"/>
              </w:rPr>
              <w:t>.</w:t>
            </w:r>
          </w:p>
          <w:p w:rsidR="008171DA" w:rsidRDefault="008171DA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E0A05" w:rsidRDefault="00EB2800" w:rsidP="007C5BA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P. Lonská informovala o výsledcích funkční analýzy informační části portálu KNIHOVNY.CZ. Přiblížila snahy o propojení databáze ADR a krajských adresářů. </w:t>
            </w:r>
            <w:r>
              <w:rPr>
                <w:rFonts w:asciiTheme="minorHAnsi" w:hAnsiTheme="minorHAnsi"/>
              </w:rPr>
              <w:lastRenderedPageBreak/>
              <w:t>Podrobněji informovala o uživatelských scénářích – o výsledcích dosažených v roce 2014 i o plánech v této oblasti pro rok 2015, kdy by měly být scénáře dotaženy v rámci většího projektu s aktivním zapojením vedoucích i členů věcně relevantních PS CPK.</w:t>
            </w:r>
          </w:p>
          <w:p w:rsidR="001E0A05" w:rsidRDefault="001E0A05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6019C" w:rsidRPr="00931951" w:rsidRDefault="00E6019C" w:rsidP="007C5BA2">
            <w:pPr>
              <w:spacing w:after="0" w:line="240" w:lineRule="auto"/>
              <w:rPr>
                <w:rFonts w:asciiTheme="minorHAnsi" w:hAnsiTheme="minorHAnsi"/>
                <w:b/>
                <w:color w:val="E5004B"/>
              </w:rPr>
            </w:pPr>
            <w:r w:rsidRPr="00931951">
              <w:rPr>
                <w:rFonts w:asciiTheme="minorHAnsi" w:hAnsiTheme="minorHAnsi"/>
                <w:b/>
                <w:color w:val="E5004B"/>
              </w:rPr>
              <w:t>PS pro organizaci a financování</w:t>
            </w:r>
          </w:p>
          <w:p w:rsidR="00E6019C" w:rsidRDefault="00E6019C" w:rsidP="007C5BA2">
            <w:pPr>
              <w:spacing w:after="0" w:line="240" w:lineRule="auto"/>
              <w:rPr>
                <w:rFonts w:asciiTheme="minorHAnsi" w:hAnsiTheme="minorHAnsi"/>
              </w:rPr>
            </w:pPr>
            <w:r w:rsidRPr="00931951">
              <w:rPr>
                <w:rFonts w:asciiTheme="minorHAnsi" w:hAnsiTheme="minorHAnsi"/>
              </w:rPr>
              <w:t xml:space="preserve">Zprávu za </w:t>
            </w:r>
            <w:r w:rsidR="00823FDD" w:rsidRPr="00931951">
              <w:rPr>
                <w:rFonts w:asciiTheme="minorHAnsi" w:hAnsiTheme="minorHAnsi"/>
              </w:rPr>
              <w:t xml:space="preserve">PS pro organizaci a financování </w:t>
            </w:r>
            <w:r w:rsidR="00B007B6">
              <w:rPr>
                <w:rFonts w:asciiTheme="minorHAnsi" w:hAnsiTheme="minorHAnsi"/>
              </w:rPr>
              <w:t xml:space="preserve">prezentoval </w:t>
            </w:r>
            <w:r w:rsidR="00823FDD" w:rsidRPr="00931951">
              <w:rPr>
                <w:rFonts w:asciiTheme="minorHAnsi" w:hAnsiTheme="minorHAnsi"/>
              </w:rPr>
              <w:t>její vedoucí M. Lhoták.</w:t>
            </w:r>
          </w:p>
          <w:p w:rsidR="00EB2800" w:rsidRDefault="00EB2800" w:rsidP="007C5BA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B2800" w:rsidRDefault="00EB2800" w:rsidP="007C5BA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Lhoták prezentoval hlavní výstupy PS za období červenec-listopad</w:t>
            </w:r>
          </w:p>
          <w:p w:rsidR="002541D9" w:rsidRPr="002541D9" w:rsidRDefault="002541D9" w:rsidP="002541D9">
            <w:pPr>
              <w:pStyle w:val="Odstavecseseznamem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/>
              </w:rPr>
            </w:pPr>
            <w:r w:rsidRPr="002541D9">
              <w:rPr>
                <w:rFonts w:asciiTheme="minorHAnsi" w:hAnsiTheme="minorHAnsi"/>
                <w:bCs/>
              </w:rPr>
              <w:t>Úprava smlouvy mezi zakládajícími knihovnami</w:t>
            </w:r>
          </w:p>
          <w:p w:rsidR="00444D08" w:rsidRPr="002541D9" w:rsidRDefault="00444D08" w:rsidP="002541D9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/>
              </w:rPr>
            </w:pPr>
            <w:r w:rsidRPr="002541D9">
              <w:rPr>
                <w:rFonts w:asciiTheme="minorHAnsi" w:hAnsiTheme="minorHAnsi"/>
                <w:bCs/>
              </w:rPr>
              <w:t>Aktualizace tabulky s finanční spoluúčastí</w:t>
            </w:r>
          </w:p>
          <w:p w:rsidR="00444D08" w:rsidRPr="002541D9" w:rsidRDefault="00444D08" w:rsidP="002541D9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/>
              </w:rPr>
            </w:pPr>
            <w:r w:rsidRPr="002541D9">
              <w:rPr>
                <w:rFonts w:asciiTheme="minorHAnsi" w:hAnsiTheme="minorHAnsi"/>
                <w:bCs/>
              </w:rPr>
              <w:t xml:space="preserve">Individuální projednání dalšího vývoje </w:t>
            </w:r>
          </w:p>
          <w:p w:rsidR="00D274B7" w:rsidRDefault="002541D9" w:rsidP="002541D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Smlouva byla připravena a 8.9.2014  odsouhlasena zástupci 12 knihoven. Individuální jednání s řediteli a dalšími zástupci pro projekt CPK významných knihoven (NK ČR, MKP, NTK a MZK) potvrdila na jedné straně již dříve deklarovanou ochotu NK ČR převzít realizaci projektu v souladu s připravenou smlouvou, na druhé straně odkryla i </w:t>
            </w:r>
            <w:r w:rsidR="00D274B7">
              <w:rPr>
                <w:rFonts w:asciiTheme="minorHAnsi" w:hAnsiTheme="minorHAnsi"/>
                <w:bCs/>
              </w:rPr>
              <w:t xml:space="preserve">neochotu </w:t>
            </w:r>
            <w:r>
              <w:rPr>
                <w:rFonts w:asciiTheme="minorHAnsi" w:hAnsiTheme="minorHAnsi"/>
                <w:bCs/>
              </w:rPr>
              <w:t>dalších významných kniho</w:t>
            </w:r>
            <w:r w:rsidR="00D274B7">
              <w:rPr>
                <w:rFonts w:asciiTheme="minorHAnsi" w:hAnsiTheme="minorHAnsi"/>
                <w:bCs/>
              </w:rPr>
              <w:t>ven (MKP, NTK, MZK) smlouvu podepsat s ohledem na pochybnosti nejen o navrženém organizačním a finančním zajištění projektu, ale i s ohledem na jeho věcnou připravenost a přílišné zúžení plynoucí ze snahy realizovat výběrové řízení co nejdříve a s ohledem na stávající možnosti potenciálních dodavatelů.</w:t>
            </w:r>
          </w:p>
          <w:p w:rsidR="00D274B7" w:rsidRDefault="00D274B7" w:rsidP="002541D9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 závěr své prezentace uvedl M. Lhoták možnosti dalšího vývoje CPK jako podklad pro následující diskusi:</w:t>
            </w:r>
          </w:p>
          <w:p w:rsidR="00444D08" w:rsidRPr="00D274B7" w:rsidRDefault="00444D08" w:rsidP="00D274B7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D274B7">
              <w:rPr>
                <w:rFonts w:asciiTheme="minorHAnsi" w:hAnsiTheme="minorHAnsi"/>
                <w:bCs/>
              </w:rPr>
              <w:t>Národní knihovna převezme administraci projektu na základě uzavřených smluv mezi knihovnami a v roce 2015 vyhlásí výběrové řízení na dodavatele CPK jako služby</w:t>
            </w:r>
          </w:p>
          <w:p w:rsidR="00444D08" w:rsidRPr="00D274B7" w:rsidRDefault="00444D08" w:rsidP="00D274B7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D274B7">
              <w:rPr>
                <w:rFonts w:asciiTheme="minorHAnsi" w:hAnsiTheme="minorHAnsi"/>
                <w:bCs/>
              </w:rPr>
              <w:t>Moravská zemská knihovna převezme administraci projektu  na základě uzavřených smluv mezi knihovnami a v roce 2015 vyhlásí výběrové řízení na dodavatele jako služby nebo začne vlastními silami postupně vytvářet pilotní CPK (finský model)</w:t>
            </w:r>
          </w:p>
          <w:p w:rsidR="00444D08" w:rsidRPr="00D274B7" w:rsidRDefault="00444D08" w:rsidP="00D274B7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D274B7">
              <w:rPr>
                <w:rFonts w:asciiTheme="minorHAnsi" w:hAnsiTheme="minorHAnsi"/>
                <w:bCs/>
              </w:rPr>
              <w:t>Knihovna AV ČR podá pokračující projekt do VISKu, kde budou (v menším obsazení) pokračovat pracovní skupiny a v příštím roce se bude pokračovat v jednáních, kdo bude administrátorem CPK</w:t>
            </w:r>
          </w:p>
          <w:p w:rsidR="00444D08" w:rsidRPr="00D274B7" w:rsidRDefault="00444D08" w:rsidP="00D274B7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D274B7">
              <w:rPr>
                <w:rFonts w:asciiTheme="minorHAnsi" w:hAnsiTheme="minorHAnsi"/>
                <w:bCs/>
              </w:rPr>
              <w:t>Administraci projektu převezme jiná knihovna</w:t>
            </w:r>
          </w:p>
          <w:p w:rsidR="00444D08" w:rsidRPr="00D274B7" w:rsidRDefault="00444D08" w:rsidP="00D274B7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D274B7">
              <w:rPr>
                <w:rFonts w:asciiTheme="minorHAnsi" w:hAnsiTheme="minorHAnsi"/>
                <w:bCs/>
              </w:rPr>
              <w:t>SDRUK?</w:t>
            </w:r>
          </w:p>
          <w:p w:rsidR="00444D08" w:rsidRPr="00D274B7" w:rsidRDefault="00444D08" w:rsidP="00D274B7">
            <w:pPr>
              <w:numPr>
                <w:ilvl w:val="0"/>
                <w:numId w:val="45"/>
              </w:numPr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</w:rPr>
            </w:pPr>
            <w:r w:rsidRPr="00D274B7">
              <w:rPr>
                <w:rFonts w:asciiTheme="minorHAnsi" w:hAnsiTheme="minorHAnsi"/>
                <w:b/>
                <w:bCs/>
              </w:rPr>
              <w:t>…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</w:p>
          <w:p w:rsidR="00AE77BD" w:rsidRDefault="00FB31B4" w:rsidP="007C5BA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 prezentacích</w:t>
            </w:r>
            <w:r w:rsidR="00D274B7">
              <w:rPr>
                <w:rFonts w:asciiTheme="minorHAnsi" w:hAnsiTheme="minorHAnsi"/>
              </w:rPr>
              <w:t xml:space="preserve"> vedoucích pracovních skupin </w:t>
            </w:r>
            <w:r>
              <w:rPr>
                <w:rFonts w:asciiTheme="minorHAnsi" w:hAnsiTheme="minorHAnsi"/>
              </w:rPr>
              <w:t>ocenili přítomní ředitelé práci, kterou pracovní skupiny odvedly, i stručné a jasné prezentace, které zrekapitulovaly nejen dosažené výsledky, ale otevřeně pojmenovaly i problémy a pochybnosti souv</w:t>
            </w:r>
            <w:r w:rsidR="0077472C">
              <w:rPr>
                <w:rFonts w:asciiTheme="minorHAnsi" w:hAnsiTheme="minorHAnsi"/>
              </w:rPr>
              <w:t>isející se směrováním projektu.</w:t>
            </w:r>
          </w:p>
          <w:p w:rsidR="0072017B" w:rsidRPr="005C66A7" w:rsidRDefault="0072017B" w:rsidP="00B03B1B">
            <w:pPr>
              <w:spacing w:after="0" w:line="240" w:lineRule="auto"/>
              <w:rPr>
                <w:rFonts w:asciiTheme="minorHAnsi" w:hAnsiTheme="minorHAnsi"/>
                <w:b/>
                <w:i/>
                <w:color w:val="E5004B"/>
              </w:rPr>
            </w:pPr>
          </w:p>
        </w:tc>
      </w:tr>
      <w:tr w:rsidR="00D2095D" w:rsidRPr="00D36136" w:rsidTr="00D36136">
        <w:tc>
          <w:tcPr>
            <w:tcW w:w="1542" w:type="dxa"/>
          </w:tcPr>
          <w:p w:rsidR="00D2095D" w:rsidRPr="00D36136" w:rsidRDefault="00B03B1B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lastRenderedPageBreak/>
              <w:t>Stanovisko SDRUK</w:t>
            </w:r>
          </w:p>
        </w:tc>
        <w:tc>
          <w:tcPr>
            <w:tcW w:w="7746" w:type="dxa"/>
          </w:tcPr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T. Řehák prezentoval stanovisko SDRUKu (projednané na posledním zasedání Rady SDRUK 24.10.2014) a doplněné o vlastní poznámky i odkazy na přednesené prezentace.</w:t>
            </w: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1) Projekt CPK se dostal do nežádoucího stavu – ve snaze respektovat možnosti potenciálních dodavatelů a vejít se do harmonogramu a disponibilních finančních prostředků byl projekt v poslední fázi příliš zúžen a soustředil se na přípravu „technických“ podkladů pro dodavatele, čímž se vytratil širší kontext.</w:t>
            </w: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2) Realizovat projekt dobře je podstatně důležitější, než ho realizovat rychle. Je třeba zvolnit tempo a vrátit se ke zcela zásadním otázkám typu, zda byly řádně analyzovány a zohledněny potřeby uživatelů i knihoven, zda byly zahrnuty všechny související systémy a služby, zda je pro projekt typu CPK s velkým množstvím lokálních zdrojů a specifik vhodná dodávka „standardního“ systému formou služby, zda jsme na „konzumaci“ této draze placené služby řádně připraveni atd.</w:t>
            </w: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 V projektu je zapojeno příliš málo knihoven. Pokud má jít skutečně o centrální portál českých knihoven, měl by „startovat“ minimálně s 50 knihovnami a zahrnovat všechny krajské knihovny, centrální knihovny a další klíčové knihovny. Je třeba usilovat i o zapojení vysokoškolských knihoven.</w:t>
            </w: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4) Je třeba dále rozpracovat uživatelské scénáře a více je v projektu zohlednit  – projekt nepřipravujeme primárně pro sebe, ale </w:t>
            </w:r>
            <w:r w:rsidRPr="00BE1A6E">
              <w:rPr>
                <w:rFonts w:asciiTheme="minorHAnsi" w:hAnsiTheme="minorHAnsi"/>
              </w:rPr>
              <w:t xml:space="preserve">pro </w:t>
            </w:r>
            <w:r w:rsidR="007D2D30" w:rsidRPr="00BE1A6E">
              <w:rPr>
                <w:rFonts w:asciiTheme="minorHAnsi" w:hAnsiTheme="minorHAnsi"/>
              </w:rPr>
              <w:t>uživatele</w:t>
            </w:r>
            <w:r w:rsidRPr="00BE1A6E">
              <w:rPr>
                <w:rFonts w:asciiTheme="minorHAnsi" w:hAnsiTheme="minorHAnsi"/>
              </w:rPr>
              <w:t>.</w:t>
            </w: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5) Je třeba navrhnout business model projektu a soustředit se na služby, které se vyplatí.</w:t>
            </w: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6) Projektový záměr je třeba zásadně přepracovat. Neměl by se (jako dosud) soustředit primárně na koncentraci potřebných informací pro výběrové řízení, ale na mapování potřeb uživatelů i knihoven (uživatelské scénáře), analýzu nejdůležitějších zdrojů (především lokálních, které vyžadují jednání s dodavateli a testování zapojení</w:t>
            </w:r>
            <w:r w:rsidR="002675C0">
              <w:rPr>
                <w:rFonts w:asciiTheme="minorHAnsi" w:hAnsiTheme="minorHAnsi"/>
              </w:rPr>
              <w:t>, centrální index lze koupit a zapojit relativně rychle</w:t>
            </w:r>
            <w:r>
              <w:rPr>
                <w:rFonts w:asciiTheme="minorHAnsi" w:hAnsiTheme="minorHAnsi"/>
              </w:rPr>
              <w:t>), popis souvisejících systémů a služeb a podmínek i harmonogramu jejich „vtažení“ do projektu, měl by hovořit „lidskou“ řečí srozumitelnou pro širší komunitu než skupinu potenciálních dodavatelů a měl by dobře formulovat přínos realizace projektu tak, aby „přilákal“ více knihoven.</w:t>
            </w:r>
          </w:p>
          <w:p w:rsidR="00D2095D" w:rsidRPr="00931951" w:rsidRDefault="00D2095D" w:rsidP="00A13D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B1B" w:rsidRPr="00D36136" w:rsidTr="00D36136">
        <w:tc>
          <w:tcPr>
            <w:tcW w:w="1542" w:type="dxa"/>
          </w:tcPr>
          <w:p w:rsidR="00B03B1B" w:rsidRPr="00A93CA2" w:rsidRDefault="00A93CA2" w:rsidP="00A93CA2">
            <w:pPr>
              <w:rPr>
                <w:b/>
                <w:color w:val="E5004B"/>
              </w:rPr>
            </w:pPr>
            <w:r>
              <w:rPr>
                <w:b/>
                <w:color w:val="E5004B"/>
              </w:rPr>
              <w:lastRenderedPageBreak/>
              <w:t xml:space="preserve">Diskuse, </w:t>
            </w:r>
            <w:r w:rsidR="00B03B1B">
              <w:rPr>
                <w:b/>
                <w:color w:val="E5004B"/>
              </w:rPr>
              <w:t>závěry</w:t>
            </w:r>
          </w:p>
        </w:tc>
        <w:tc>
          <w:tcPr>
            <w:tcW w:w="7746" w:type="dxa"/>
          </w:tcPr>
          <w:p w:rsidR="00851110" w:rsidRDefault="00B03B1B" w:rsidP="0085111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prezentaci T. Řeháka následovala diskuse, </w:t>
            </w:r>
            <w:r w:rsidR="00A520F6">
              <w:rPr>
                <w:rFonts w:asciiTheme="minorHAnsi" w:hAnsiTheme="minorHAnsi"/>
              </w:rPr>
              <w:t xml:space="preserve">v níž se většina zúčastněných připojila ke stanovisku SDRUK. </w:t>
            </w:r>
            <w:r w:rsidR="00851110" w:rsidRPr="00BE1A6E">
              <w:rPr>
                <w:rFonts w:asciiTheme="minorHAnsi" w:hAnsiTheme="minorHAnsi"/>
              </w:rPr>
              <w:t>V závěru diskuse se přítomní jednomyslně shodli na tom, že v roce 2015 nebude vypsáno výběrové řízení na dodávku služby CPK jako celku, ale budou podnikány dílčí kroky na zajištění lepšího startu CPK pro léta následující.</w:t>
            </w:r>
          </w:p>
          <w:p w:rsidR="00851110" w:rsidRDefault="00851110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03B1B" w:rsidRDefault="00851110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B03B1B">
              <w:rPr>
                <w:rFonts w:asciiTheme="minorHAnsi" w:hAnsiTheme="minorHAnsi"/>
              </w:rPr>
              <w:t>ávěry lze shrnout takto:</w:t>
            </w: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93CA2" w:rsidRPr="00A93CA2" w:rsidRDefault="00A93CA2" w:rsidP="00B03B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3CA2">
              <w:rPr>
                <w:rFonts w:asciiTheme="minorHAnsi" w:hAnsiTheme="minorHAnsi"/>
                <w:b/>
              </w:rPr>
              <w:t>Obecné závěry:</w:t>
            </w:r>
          </w:p>
          <w:p w:rsidR="00A93CA2" w:rsidRDefault="00A93CA2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03B1B" w:rsidRDefault="00A93CA2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1) </w:t>
            </w:r>
            <w:r w:rsidR="00B03B1B">
              <w:rPr>
                <w:rFonts w:asciiTheme="minorHAnsi" w:hAnsiTheme="minorHAnsi"/>
              </w:rPr>
              <w:t xml:space="preserve">Výběrové řízení na dodavatele </w:t>
            </w:r>
            <w:r w:rsidR="00A520F6">
              <w:rPr>
                <w:rFonts w:asciiTheme="minorHAnsi" w:hAnsiTheme="minorHAnsi"/>
              </w:rPr>
              <w:t xml:space="preserve">technologického řešení CPK formou služby </w:t>
            </w:r>
            <w:r w:rsidR="00B03B1B">
              <w:rPr>
                <w:rFonts w:asciiTheme="minorHAnsi" w:hAnsiTheme="minorHAnsi"/>
              </w:rPr>
              <w:t>nebude v roce 2015 realizováno a nebudou na ně tudíž požadovány finanční prostředky z VISK.</w:t>
            </w:r>
          </w:p>
          <w:p w:rsidR="00B03B1B" w:rsidRDefault="00B03B1B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03B1B" w:rsidRDefault="00A93CA2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2) </w:t>
            </w:r>
            <w:r w:rsidR="00B03B1B">
              <w:rPr>
                <w:rFonts w:asciiTheme="minorHAnsi" w:hAnsiTheme="minorHAnsi"/>
              </w:rPr>
              <w:t>Je třeba zvolnit tempo a věnovat se přepracování základních projektových dokumentů</w:t>
            </w:r>
            <w:r w:rsidR="00A520F6">
              <w:rPr>
                <w:rFonts w:asciiTheme="minorHAnsi" w:hAnsiTheme="minorHAnsi"/>
              </w:rPr>
              <w:t xml:space="preserve"> v souladu s doporučením SDRUK</w:t>
            </w:r>
            <w:r w:rsidR="00B03B1B">
              <w:rPr>
                <w:rFonts w:asciiTheme="minorHAnsi" w:hAnsiTheme="minorHAnsi"/>
              </w:rPr>
              <w:t xml:space="preserve">, přípravě knihoven na zapojení do CPK, přípravě lokálních zdrojů na zapojení do projektu v rovině smluvní </w:t>
            </w:r>
            <w:r w:rsidR="00A520F6">
              <w:rPr>
                <w:rFonts w:asciiTheme="minorHAnsi" w:hAnsiTheme="minorHAnsi"/>
              </w:rPr>
              <w:t>i technické</w:t>
            </w:r>
            <w:r>
              <w:rPr>
                <w:rFonts w:asciiTheme="minorHAnsi" w:hAnsiTheme="minorHAnsi"/>
              </w:rPr>
              <w:t>.</w:t>
            </w:r>
          </w:p>
          <w:p w:rsidR="00A93CA2" w:rsidRDefault="00A93CA2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93CA2" w:rsidRDefault="00A93CA2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 Je třeba usilovat o zapojení dalších knihoven – příprava „přitažlivých“ dokumentů, jednání s řediteli, workshopy atd.</w:t>
            </w:r>
          </w:p>
          <w:p w:rsidR="00C077AE" w:rsidRDefault="00C077AE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077AE" w:rsidRDefault="00C077AE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 Je třeba otestovat možnost realizace CPK cestou vlastního vývoje. Test buď potvrdí</w:t>
            </w:r>
            <w:r w:rsidR="00BE1A6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nebo vyloučí možnost realizace </w:t>
            </w:r>
            <w:r w:rsidR="00BE1A6E">
              <w:rPr>
                <w:rFonts w:asciiTheme="minorHAnsi" w:hAnsiTheme="minorHAnsi"/>
              </w:rPr>
              <w:t xml:space="preserve">projektu </w:t>
            </w:r>
            <w:r>
              <w:rPr>
                <w:rFonts w:asciiTheme="minorHAnsi" w:hAnsiTheme="minorHAnsi"/>
              </w:rPr>
              <w:t xml:space="preserve">touto cestou.  </w:t>
            </w:r>
            <w:r w:rsidR="0077472C">
              <w:rPr>
                <w:rFonts w:asciiTheme="minorHAnsi" w:hAnsiTheme="minorHAnsi"/>
              </w:rPr>
              <w:t xml:space="preserve">Některé komponenty pro CPK vyvinout nelze (centrální index) a bude třeba zakoupit v roce 2016. </w:t>
            </w:r>
            <w:r>
              <w:rPr>
                <w:rFonts w:asciiTheme="minorHAnsi" w:hAnsiTheme="minorHAnsi"/>
              </w:rPr>
              <w:t xml:space="preserve">Pokud test nepřinese pozitivní výsledek a bude nutný návrat k výběrovému </w:t>
            </w:r>
            <w:r>
              <w:rPr>
                <w:rFonts w:asciiTheme="minorHAnsi" w:hAnsiTheme="minorHAnsi"/>
              </w:rPr>
              <w:lastRenderedPageBreak/>
              <w:t>řízení, budeme na ně lépe připraveni.</w:t>
            </w:r>
            <w:r w:rsidR="0077472C">
              <w:rPr>
                <w:rFonts w:asciiTheme="minorHAnsi" w:hAnsiTheme="minorHAnsi"/>
              </w:rPr>
              <w:t xml:space="preserve"> </w:t>
            </w:r>
          </w:p>
          <w:p w:rsidR="007D2D30" w:rsidRDefault="007D2D30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93CA2" w:rsidRDefault="00A93CA2" w:rsidP="00B03B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93CA2">
              <w:rPr>
                <w:rFonts w:asciiTheme="minorHAnsi" w:hAnsiTheme="minorHAnsi"/>
                <w:b/>
              </w:rPr>
              <w:t>Konkrétní kroky v roce 2015:</w:t>
            </w:r>
          </w:p>
          <w:p w:rsidR="00A520F6" w:rsidRDefault="00A520F6" w:rsidP="00B03B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077AE" w:rsidRDefault="00A520F6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1) Práce pracovních skupin i koordinátorů projektu budou v roce 2015 pokračovat v intencích obecných závěrů Rady CPK. KNAV podá projekt na zajištění pokračování práce pracovních skupin (menší počet placených členů, vedoucí PS </w:t>
            </w:r>
            <w:r w:rsidR="002675C0">
              <w:rPr>
                <w:rFonts w:asciiTheme="minorHAnsi" w:hAnsiTheme="minorHAnsi"/>
              </w:rPr>
              <w:t>vyberou nejproduktivnější členy</w:t>
            </w:r>
            <w:r w:rsidR="00C077AE">
              <w:rPr>
                <w:rFonts w:asciiTheme="minorHAnsi" w:hAnsiTheme="minorHAnsi"/>
              </w:rPr>
              <w:t>, ostatní se mohou účastnit jednání bez nároku na honorář).</w:t>
            </w:r>
          </w:p>
          <w:p w:rsidR="00C077AE" w:rsidRPr="00C077AE" w:rsidRDefault="00C077AE" w:rsidP="00B03B1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>Odpovědnost: KNAV (M. Lhoták, B. Stoklasová</w:t>
            </w:r>
            <w:r>
              <w:rPr>
                <w:rFonts w:asciiTheme="minorHAnsi" w:hAnsiTheme="minorHAnsi"/>
                <w:i/>
              </w:rPr>
              <w:t>)</w:t>
            </w:r>
          </w:p>
          <w:p w:rsidR="00C077AE" w:rsidRPr="00C077AE" w:rsidRDefault="00C077AE" w:rsidP="00B03B1B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>Termín: Podání projektu 10.12.2014, realizace rok 2015</w:t>
            </w:r>
          </w:p>
          <w:p w:rsidR="00A520F6" w:rsidRPr="00444D08" w:rsidRDefault="002675C0" w:rsidP="00B03B1B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Finanční nárok</w:t>
            </w:r>
            <w:r w:rsidR="00C077AE" w:rsidRPr="00C077AE">
              <w:rPr>
                <w:rFonts w:asciiTheme="minorHAnsi" w:hAnsiTheme="minorHAnsi"/>
                <w:i/>
              </w:rPr>
              <w:t>y projektu</w:t>
            </w:r>
            <w:r w:rsidR="00C077AE">
              <w:rPr>
                <w:rFonts w:asciiTheme="minorHAnsi" w:hAnsiTheme="minorHAnsi"/>
                <w:i/>
              </w:rPr>
              <w:t xml:space="preserve">: </w:t>
            </w:r>
            <w:r w:rsidR="00C077AE" w:rsidRPr="00C077AE">
              <w:rPr>
                <w:rFonts w:asciiTheme="minorHAnsi" w:hAnsiTheme="minorHAnsi"/>
                <w:i/>
              </w:rPr>
              <w:t xml:space="preserve"> do 1 mil. Kč</w:t>
            </w:r>
            <w:r w:rsidR="00C077AE" w:rsidRPr="00444D08">
              <w:rPr>
                <w:rFonts w:asciiTheme="minorHAnsi" w:hAnsiTheme="minorHAnsi"/>
                <w:i/>
              </w:rPr>
              <w:t>.</w:t>
            </w:r>
            <w:r w:rsidR="00444D08" w:rsidRPr="00444D08">
              <w:rPr>
                <w:rFonts w:asciiTheme="minorHAnsi" w:hAnsiTheme="minorHAnsi"/>
                <w:i/>
              </w:rPr>
              <w:t xml:space="preserve"> (VISK 8/B)</w:t>
            </w:r>
          </w:p>
          <w:p w:rsidR="00C077AE" w:rsidRDefault="00C077AE" w:rsidP="00B03B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077AE" w:rsidRPr="00A520F6" w:rsidRDefault="00C077AE" w:rsidP="00B03B1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2) MZK rozšíří stávající pilotní projekt zaměřený na interoperabilitu a testování zapojení lokálních zdrojů na úroveň ověřovacího pilotního projektu realizace CPK formou vlastního vývoje s využitím VuFind. </w:t>
            </w: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Odpovědnost: </w:t>
            </w:r>
            <w:r>
              <w:rPr>
                <w:rFonts w:asciiTheme="minorHAnsi" w:hAnsiTheme="minorHAnsi"/>
                <w:i/>
              </w:rPr>
              <w:t>MZK (P. Žabička)</w:t>
            </w:r>
          </w:p>
          <w:p w:rsidR="00444D08" w:rsidRPr="00C077AE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>Termín: Podání projektu 10.12.2014, realizace rok 2015</w:t>
            </w: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>Finanční nároky projektu</w:t>
            </w:r>
            <w:r>
              <w:rPr>
                <w:rFonts w:asciiTheme="minorHAnsi" w:hAnsiTheme="minorHAnsi"/>
                <w:i/>
              </w:rPr>
              <w:t xml:space="preserve">: </w:t>
            </w:r>
            <w:r w:rsidRPr="00C077AE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2-3</w:t>
            </w:r>
            <w:r w:rsidRPr="00C077AE">
              <w:rPr>
                <w:rFonts w:asciiTheme="minorHAnsi" w:hAnsiTheme="minorHAnsi"/>
                <w:i/>
              </w:rPr>
              <w:t xml:space="preserve"> mil. Kč</w:t>
            </w:r>
            <w:r w:rsidRPr="00444D08">
              <w:rPr>
                <w:rFonts w:asciiTheme="minorHAnsi" w:hAnsiTheme="minorHAnsi"/>
                <w:i/>
              </w:rPr>
              <w:t>. (VISK 8/B)</w:t>
            </w: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3) NK podá projekt na pokračování JIB ve stávajícím rozsahu.</w:t>
            </w: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Odpovědnost: </w:t>
            </w:r>
            <w:r>
              <w:rPr>
                <w:rFonts w:asciiTheme="minorHAnsi" w:hAnsiTheme="minorHAnsi"/>
                <w:i/>
              </w:rPr>
              <w:t>NK ČR (E. Lichtenbergová)</w:t>
            </w:r>
          </w:p>
          <w:p w:rsidR="00444D08" w:rsidRPr="00C077AE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>Termín: Podání projektu 10.12.2014, realizace rok 2015</w:t>
            </w:r>
          </w:p>
          <w:p w:rsidR="00444D08" w:rsidRPr="00444D08" w:rsidRDefault="002675C0" w:rsidP="00444D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Finanční nárok</w:t>
            </w:r>
            <w:r w:rsidR="00444D08" w:rsidRPr="00C077AE">
              <w:rPr>
                <w:rFonts w:asciiTheme="minorHAnsi" w:hAnsiTheme="minorHAnsi"/>
                <w:i/>
              </w:rPr>
              <w:t>y projektu</w:t>
            </w:r>
            <w:r w:rsidR="00444D08">
              <w:rPr>
                <w:rFonts w:asciiTheme="minorHAnsi" w:hAnsiTheme="minorHAnsi"/>
                <w:i/>
              </w:rPr>
              <w:t xml:space="preserve">: </w:t>
            </w:r>
            <w:r w:rsidR="00444D08" w:rsidRPr="00C077AE">
              <w:rPr>
                <w:rFonts w:asciiTheme="minorHAnsi" w:hAnsiTheme="minorHAnsi"/>
                <w:i/>
              </w:rPr>
              <w:t xml:space="preserve"> </w:t>
            </w:r>
            <w:r w:rsidR="00444D08">
              <w:rPr>
                <w:rFonts w:asciiTheme="minorHAnsi" w:hAnsiTheme="minorHAnsi"/>
                <w:i/>
              </w:rPr>
              <w:t>2,6 mil. Kč (VISK 8/B)</w:t>
            </w: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4) Bude podána řada projektů na připravenost knihoven na zapojení do CPK</w:t>
            </w: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Odpovědnost: </w:t>
            </w:r>
            <w:r>
              <w:rPr>
                <w:rFonts w:asciiTheme="minorHAnsi" w:hAnsiTheme="minorHAnsi"/>
                <w:i/>
              </w:rPr>
              <w:t>Koordinace MZK, projekty jednotlivé knihovny</w:t>
            </w:r>
          </w:p>
          <w:p w:rsidR="00444D08" w:rsidRPr="00C077AE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>Termín: Podání projekt</w:t>
            </w:r>
            <w:r>
              <w:rPr>
                <w:rFonts w:asciiTheme="minorHAnsi" w:hAnsiTheme="minorHAnsi"/>
                <w:i/>
              </w:rPr>
              <w:t>ů</w:t>
            </w:r>
            <w:r w:rsidRPr="00C077AE">
              <w:rPr>
                <w:rFonts w:asciiTheme="minorHAnsi" w:hAnsiTheme="minorHAnsi"/>
                <w:i/>
              </w:rPr>
              <w:t xml:space="preserve"> 10.12.2014, realizace rok 2015</w:t>
            </w:r>
          </w:p>
          <w:p w:rsidR="00A520F6" w:rsidRDefault="002675C0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Finanční nárok</w:t>
            </w:r>
            <w:r w:rsidR="00444D08" w:rsidRPr="00C077AE">
              <w:rPr>
                <w:rFonts w:asciiTheme="minorHAnsi" w:hAnsiTheme="minorHAnsi"/>
                <w:i/>
              </w:rPr>
              <w:t>y projekt</w:t>
            </w:r>
            <w:r w:rsidR="00444D08">
              <w:rPr>
                <w:rFonts w:asciiTheme="minorHAnsi" w:hAnsiTheme="minorHAnsi"/>
                <w:i/>
              </w:rPr>
              <w:t xml:space="preserve">ů: </w:t>
            </w:r>
            <w:r w:rsidR="00444D08" w:rsidRPr="00C077AE">
              <w:rPr>
                <w:rFonts w:asciiTheme="minorHAnsi" w:hAnsiTheme="minorHAnsi"/>
                <w:i/>
              </w:rPr>
              <w:t xml:space="preserve"> </w:t>
            </w:r>
            <w:r w:rsidR="00444D08">
              <w:rPr>
                <w:rFonts w:asciiTheme="minorHAnsi" w:hAnsiTheme="minorHAnsi"/>
                <w:i/>
              </w:rPr>
              <w:t>1 mil. Kč (VISK 8/B)</w:t>
            </w: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5) MKP podá projekt na</w:t>
            </w:r>
            <w:r w:rsidR="00C837C5">
              <w:rPr>
                <w:rFonts w:asciiTheme="minorHAnsi" w:hAnsiTheme="minorHAnsi"/>
              </w:rPr>
              <w:t xml:space="preserve"> realizaci informační části portálu Knihovny.cz,</w:t>
            </w:r>
            <w:r>
              <w:rPr>
                <w:rFonts w:asciiTheme="minorHAnsi" w:hAnsiTheme="minorHAnsi"/>
              </w:rPr>
              <w:t xml:space="preserve"> rozpracování uživatelských scénářů</w:t>
            </w:r>
            <w:r w:rsidR="00C837C5">
              <w:rPr>
                <w:rFonts w:asciiTheme="minorHAnsi" w:hAnsiTheme="minorHAnsi"/>
              </w:rPr>
              <w:t xml:space="preserve"> a business modelu CPK</w:t>
            </w: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Odpovědnost: </w:t>
            </w:r>
            <w:r>
              <w:rPr>
                <w:rFonts w:asciiTheme="minorHAnsi" w:hAnsiTheme="minorHAnsi"/>
                <w:i/>
              </w:rPr>
              <w:t>MKP</w:t>
            </w:r>
            <w:r w:rsidR="002675C0">
              <w:rPr>
                <w:rFonts w:asciiTheme="minorHAnsi" w:hAnsiTheme="minorHAnsi"/>
                <w:i/>
              </w:rPr>
              <w:t xml:space="preserve"> (L.Hanzlíková, P. Lonská)</w:t>
            </w:r>
          </w:p>
          <w:p w:rsidR="00444D08" w:rsidRPr="00C077AE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>Termín: Podání projektu 10.12.2014, realizace rok 2015</w:t>
            </w:r>
          </w:p>
          <w:p w:rsidR="00444D08" w:rsidRDefault="002675C0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Finanční nárok</w:t>
            </w:r>
            <w:r w:rsidR="00444D08" w:rsidRPr="00C077AE">
              <w:rPr>
                <w:rFonts w:asciiTheme="minorHAnsi" w:hAnsiTheme="minorHAnsi"/>
                <w:i/>
              </w:rPr>
              <w:t>y projektu</w:t>
            </w:r>
            <w:r w:rsidR="00444D08">
              <w:rPr>
                <w:rFonts w:asciiTheme="minorHAnsi" w:hAnsiTheme="minorHAnsi"/>
                <w:i/>
              </w:rPr>
              <w:t xml:space="preserve">: </w:t>
            </w:r>
            <w:r w:rsidR="00444D08" w:rsidRPr="00C077AE">
              <w:rPr>
                <w:rFonts w:asciiTheme="minorHAnsi" w:hAnsiTheme="minorHAnsi"/>
                <w:i/>
              </w:rPr>
              <w:t xml:space="preserve"> </w:t>
            </w:r>
            <w:r w:rsidR="00444D08">
              <w:rPr>
                <w:rFonts w:asciiTheme="minorHAnsi" w:hAnsiTheme="minorHAnsi"/>
                <w:i/>
              </w:rPr>
              <w:t>0,</w:t>
            </w:r>
            <w:r w:rsidR="00C837C5">
              <w:rPr>
                <w:rFonts w:asciiTheme="minorHAnsi" w:hAnsiTheme="minorHAnsi"/>
                <w:i/>
              </w:rPr>
              <w:t>8</w:t>
            </w:r>
            <w:r w:rsidR="00444D08">
              <w:rPr>
                <w:rFonts w:asciiTheme="minorHAnsi" w:hAnsiTheme="minorHAnsi"/>
                <w:i/>
              </w:rPr>
              <w:t xml:space="preserve"> mil. Kč</w:t>
            </w:r>
            <w:r>
              <w:rPr>
                <w:rFonts w:asciiTheme="minorHAnsi" w:hAnsiTheme="minorHAnsi"/>
                <w:i/>
              </w:rPr>
              <w:t xml:space="preserve"> (VISK 8/B)</w:t>
            </w: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444D08" w:rsidRPr="00444D08" w:rsidRDefault="00444D08" w:rsidP="00444D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6) SDRUK podá projekt na uzavírání smluv s producenty a vlastníky lokálních zdrojů</w:t>
            </w: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Odpovědnost: </w:t>
            </w:r>
            <w:r>
              <w:rPr>
                <w:rFonts w:asciiTheme="minorHAnsi" w:hAnsiTheme="minorHAnsi"/>
                <w:i/>
              </w:rPr>
              <w:t>SDRUK (L. Maixnerová)</w:t>
            </w:r>
          </w:p>
          <w:p w:rsidR="00444D08" w:rsidRPr="00C077AE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>Termín: Podání projektu 10.12.2014, realizace rok 2015</w:t>
            </w:r>
          </w:p>
          <w:p w:rsidR="00A520F6" w:rsidRDefault="002675C0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Finanční nárok</w:t>
            </w:r>
            <w:r w:rsidR="00444D08" w:rsidRPr="00C077AE">
              <w:rPr>
                <w:rFonts w:asciiTheme="minorHAnsi" w:hAnsiTheme="minorHAnsi"/>
                <w:i/>
              </w:rPr>
              <w:t>y projektu</w:t>
            </w:r>
            <w:r w:rsidR="00444D08">
              <w:rPr>
                <w:rFonts w:asciiTheme="minorHAnsi" w:hAnsiTheme="minorHAnsi"/>
                <w:i/>
              </w:rPr>
              <w:t xml:space="preserve">: </w:t>
            </w:r>
            <w:r w:rsidR="00444D08" w:rsidRPr="00C077AE">
              <w:rPr>
                <w:rFonts w:asciiTheme="minorHAnsi" w:hAnsiTheme="minorHAnsi"/>
                <w:i/>
              </w:rPr>
              <w:t xml:space="preserve"> </w:t>
            </w:r>
            <w:r w:rsidR="00444D08">
              <w:rPr>
                <w:rFonts w:asciiTheme="minorHAnsi" w:hAnsiTheme="minorHAnsi"/>
                <w:i/>
              </w:rPr>
              <w:t>???</w:t>
            </w:r>
            <w:r>
              <w:rPr>
                <w:rFonts w:asciiTheme="minorHAnsi" w:hAnsiTheme="minorHAnsi"/>
                <w:i/>
              </w:rPr>
              <w:t xml:space="preserve"> (VISK 8/B)</w:t>
            </w:r>
            <w:r w:rsidR="00851110">
              <w:rPr>
                <w:rFonts w:asciiTheme="minorHAnsi" w:hAnsiTheme="minorHAnsi"/>
                <w:i/>
              </w:rPr>
              <w:t xml:space="preserve"> – bude</w:t>
            </w:r>
            <w:r w:rsidR="008171DA">
              <w:rPr>
                <w:rFonts w:asciiTheme="minorHAnsi" w:hAnsiTheme="minorHAnsi"/>
                <w:i/>
              </w:rPr>
              <w:t xml:space="preserve"> upřesněno</w:t>
            </w:r>
          </w:p>
          <w:p w:rsidR="00444D08" w:rsidRDefault="00444D08" w:rsidP="00444D08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:rsidR="00444D08" w:rsidRDefault="002675C0" w:rsidP="00444D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7) Budou osloveny další významné české knihovny se žádostí o účast v projektu</w:t>
            </w:r>
          </w:p>
          <w:p w:rsidR="002675C0" w:rsidRDefault="002675C0" w:rsidP="002675C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 xml:space="preserve">Odpovědnost: </w:t>
            </w:r>
            <w:r w:rsidR="00851110">
              <w:rPr>
                <w:rFonts w:asciiTheme="minorHAnsi" w:hAnsiTheme="minorHAnsi"/>
                <w:i/>
              </w:rPr>
              <w:t>KNAV, SDRUK, MKP</w:t>
            </w:r>
          </w:p>
          <w:p w:rsidR="002675C0" w:rsidRPr="00C077AE" w:rsidRDefault="002675C0" w:rsidP="002675C0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>Termín: rok 2015</w:t>
            </w:r>
          </w:p>
          <w:p w:rsidR="00B03B1B" w:rsidRDefault="002675C0" w:rsidP="00FE1373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077AE">
              <w:rPr>
                <w:rFonts w:asciiTheme="minorHAnsi" w:hAnsiTheme="minorHAnsi"/>
                <w:i/>
              </w:rPr>
              <w:t>Finanční nárok y projektu</w:t>
            </w:r>
            <w:r>
              <w:rPr>
                <w:rFonts w:asciiTheme="minorHAnsi" w:hAnsiTheme="minorHAnsi"/>
                <w:i/>
              </w:rPr>
              <w:t xml:space="preserve">: 0? </w:t>
            </w:r>
          </w:p>
          <w:p w:rsidR="00FE1373" w:rsidRPr="00931951" w:rsidRDefault="00FE1373" w:rsidP="00FE137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B1B" w:rsidRPr="00D36136" w:rsidTr="00D36136">
        <w:tc>
          <w:tcPr>
            <w:tcW w:w="1542" w:type="dxa"/>
          </w:tcPr>
          <w:p w:rsidR="00B03B1B" w:rsidRPr="00D36136" w:rsidRDefault="00A93CA2" w:rsidP="00D36136">
            <w:pPr>
              <w:spacing w:after="0" w:line="240" w:lineRule="auto"/>
              <w:rPr>
                <w:b/>
                <w:color w:val="E5004B"/>
              </w:rPr>
            </w:pPr>
            <w:r>
              <w:rPr>
                <w:b/>
                <w:color w:val="E5004B"/>
              </w:rPr>
              <w:lastRenderedPageBreak/>
              <w:t>Formality</w:t>
            </w:r>
          </w:p>
        </w:tc>
        <w:tc>
          <w:tcPr>
            <w:tcW w:w="7746" w:type="dxa"/>
          </w:tcPr>
          <w:p w:rsidR="00B03B1B" w:rsidRDefault="00A93CA2" w:rsidP="00A13D8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Proběhla nová volba předsedy Rady CPK – ve funkci byl i nadále potvrzen M. Lhoták</w:t>
            </w:r>
          </w:p>
          <w:p w:rsidR="00A93CA2" w:rsidRDefault="00A93CA2" w:rsidP="00A13D8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93CA2" w:rsidRDefault="00A93CA2" w:rsidP="00A13D8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 ohledem na rezignaci dosavadního místopředsedy Rady CPK T. Gece je třeba zvolit nového místopředsedu Rady. Nominováni byli T. Řehák a T. Kubíček – oba si vzali čas na rozmyšlenou.</w:t>
            </w:r>
          </w:p>
          <w:p w:rsidR="00A93CA2" w:rsidRDefault="00A93CA2" w:rsidP="00A13D8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93CA2" w:rsidRDefault="00A93CA2" w:rsidP="00A13D8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Všichni vedoucí pracovních skupin budou zapojeni do elektronické konference Rady </w:t>
            </w:r>
            <w:r>
              <w:rPr>
                <w:rFonts w:asciiTheme="minorHAnsi" w:hAnsiTheme="minorHAnsi"/>
              </w:rPr>
              <w:lastRenderedPageBreak/>
              <w:t>CPK.</w:t>
            </w:r>
          </w:p>
          <w:p w:rsidR="00A93CA2" w:rsidRDefault="00A93CA2" w:rsidP="00A13D8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93CA2" w:rsidRPr="00931951" w:rsidRDefault="00A520F6" w:rsidP="00A13D8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 jaře 2015 proběhne výjezdní zasedání Rady CPK.</w:t>
            </w:r>
          </w:p>
        </w:tc>
      </w:tr>
      <w:tr w:rsidR="00B03B1B" w:rsidRPr="00D36136" w:rsidTr="00D36136">
        <w:tc>
          <w:tcPr>
            <w:tcW w:w="1542" w:type="dxa"/>
          </w:tcPr>
          <w:p w:rsidR="00B03B1B" w:rsidRPr="00D36136" w:rsidRDefault="00B03B1B" w:rsidP="00D36136">
            <w:pPr>
              <w:spacing w:after="0" w:line="240" w:lineRule="auto"/>
              <w:rPr>
                <w:b/>
                <w:color w:val="E5004B"/>
              </w:rPr>
            </w:pPr>
          </w:p>
        </w:tc>
        <w:tc>
          <w:tcPr>
            <w:tcW w:w="7746" w:type="dxa"/>
          </w:tcPr>
          <w:p w:rsidR="00B03B1B" w:rsidRPr="00931951" w:rsidRDefault="00B03B1B" w:rsidP="00A13D8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A7392" w:rsidRPr="00D36136" w:rsidTr="00D36136">
        <w:tc>
          <w:tcPr>
            <w:tcW w:w="1542" w:type="dxa"/>
          </w:tcPr>
          <w:p w:rsidR="00CA7392" w:rsidRPr="00A93CA2" w:rsidRDefault="00CA7392" w:rsidP="00E966A5">
            <w:pPr>
              <w:spacing w:after="0" w:line="240" w:lineRule="auto"/>
              <w:rPr>
                <w:b/>
                <w:color w:val="E5004B"/>
              </w:rPr>
            </w:pPr>
            <w:r w:rsidRPr="00A93CA2">
              <w:rPr>
                <w:b/>
                <w:color w:val="E5004B"/>
              </w:rPr>
              <w:t>Verze zápisu</w:t>
            </w:r>
          </w:p>
        </w:tc>
        <w:tc>
          <w:tcPr>
            <w:tcW w:w="7746" w:type="dxa"/>
          </w:tcPr>
          <w:p w:rsidR="00CA7392" w:rsidRPr="00931951" w:rsidRDefault="00A93CA2" w:rsidP="00BE1A6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0.1 </w:t>
            </w:r>
            <w:r w:rsidR="00BE1A6E">
              <w:rPr>
                <w:rFonts w:asciiTheme="minorHAnsi" w:hAnsiTheme="minorHAnsi"/>
              </w:rPr>
              <w:t xml:space="preserve">(2014_11_10) </w:t>
            </w:r>
            <w:r>
              <w:rPr>
                <w:rFonts w:asciiTheme="minorHAnsi" w:hAnsiTheme="minorHAnsi"/>
              </w:rPr>
              <w:t>První ná</w:t>
            </w:r>
            <w:r w:rsidR="00BE1A6E">
              <w:rPr>
                <w:rFonts w:asciiTheme="minorHAnsi" w:hAnsiTheme="minorHAnsi"/>
              </w:rPr>
              <w:t>vrh</w:t>
            </w:r>
            <w:r>
              <w:rPr>
                <w:rFonts w:asciiTheme="minorHAnsi" w:hAnsiTheme="minorHAnsi"/>
              </w:rPr>
              <w:t xml:space="preserve"> – posouzení M. Lhoták a T. Řehák</w:t>
            </w:r>
            <w:r w:rsidR="002675C0">
              <w:rPr>
                <w:rFonts w:asciiTheme="minorHAnsi" w:hAnsiTheme="minorHAnsi"/>
              </w:rPr>
              <w:t xml:space="preserve"> </w:t>
            </w:r>
          </w:p>
        </w:tc>
      </w:tr>
      <w:tr w:rsidR="00CA7392" w:rsidRPr="00D36136" w:rsidTr="00D36136">
        <w:tc>
          <w:tcPr>
            <w:tcW w:w="1542" w:type="dxa"/>
          </w:tcPr>
          <w:p w:rsidR="00CA7392" w:rsidRPr="00D2095D" w:rsidRDefault="00CA7392" w:rsidP="00A13D85">
            <w:pPr>
              <w:spacing w:after="0" w:line="240" w:lineRule="auto"/>
              <w:rPr>
                <w:color w:val="E5004B"/>
              </w:rPr>
            </w:pPr>
          </w:p>
        </w:tc>
        <w:tc>
          <w:tcPr>
            <w:tcW w:w="7746" w:type="dxa"/>
          </w:tcPr>
          <w:p w:rsidR="00CA7392" w:rsidRPr="00BE1A6E" w:rsidRDefault="00BE1A6E" w:rsidP="00E54235">
            <w:pPr>
              <w:spacing w:after="0" w:line="240" w:lineRule="auto"/>
              <w:rPr>
                <w:rFonts w:asciiTheme="minorHAnsi" w:hAnsiTheme="minorHAnsi"/>
                <w:color w:val="E5004B"/>
              </w:rPr>
            </w:pPr>
            <w:r w:rsidRPr="00851110">
              <w:rPr>
                <w:rFonts w:asciiTheme="minorHAnsi" w:hAnsiTheme="minorHAnsi"/>
              </w:rPr>
              <w:t>0.2 (2014_11_12) Verze pro posouzení Radou CPK se zapracovanými připomínkami T. Řeháka</w:t>
            </w:r>
          </w:p>
        </w:tc>
      </w:tr>
      <w:tr w:rsidR="00851110" w:rsidRPr="00D36136" w:rsidTr="00D36136">
        <w:tc>
          <w:tcPr>
            <w:tcW w:w="1542" w:type="dxa"/>
          </w:tcPr>
          <w:p w:rsidR="00851110" w:rsidRPr="00D2095D" w:rsidRDefault="00851110" w:rsidP="00A13D85">
            <w:pPr>
              <w:spacing w:after="0" w:line="240" w:lineRule="auto"/>
              <w:rPr>
                <w:color w:val="E5004B"/>
              </w:rPr>
            </w:pPr>
          </w:p>
        </w:tc>
        <w:tc>
          <w:tcPr>
            <w:tcW w:w="7746" w:type="dxa"/>
          </w:tcPr>
          <w:p w:rsidR="00851110" w:rsidRPr="00FE1373" w:rsidRDefault="00851110" w:rsidP="00E54235">
            <w:pPr>
              <w:spacing w:after="0" w:line="240" w:lineRule="auto"/>
              <w:rPr>
                <w:rFonts w:asciiTheme="minorHAnsi" w:hAnsiTheme="minorHAnsi"/>
              </w:rPr>
            </w:pPr>
            <w:r w:rsidRPr="00FE1373">
              <w:rPr>
                <w:rFonts w:asciiTheme="minorHAnsi" w:hAnsiTheme="minorHAnsi"/>
              </w:rPr>
              <w:t>0.3 (2014_11_21) Verze schválená Radou CPK</w:t>
            </w:r>
            <w:r w:rsidR="00F066AE" w:rsidRPr="00FE1373">
              <w:rPr>
                <w:rFonts w:asciiTheme="minorHAnsi" w:hAnsiTheme="minorHAnsi"/>
              </w:rPr>
              <w:t xml:space="preserve"> </w:t>
            </w:r>
          </w:p>
        </w:tc>
      </w:tr>
      <w:tr w:rsidR="00FE1373" w:rsidRPr="00D36136" w:rsidTr="00D36136">
        <w:tc>
          <w:tcPr>
            <w:tcW w:w="1542" w:type="dxa"/>
          </w:tcPr>
          <w:p w:rsidR="00FE1373" w:rsidRPr="00D2095D" w:rsidRDefault="00FE1373" w:rsidP="00A13D85">
            <w:pPr>
              <w:spacing w:after="0" w:line="240" w:lineRule="auto"/>
              <w:rPr>
                <w:color w:val="E5004B"/>
              </w:rPr>
            </w:pPr>
          </w:p>
        </w:tc>
        <w:tc>
          <w:tcPr>
            <w:tcW w:w="7746" w:type="dxa"/>
          </w:tcPr>
          <w:p w:rsidR="00FE1373" w:rsidRDefault="00FE1373" w:rsidP="00FE1373">
            <w:pPr>
              <w:spacing w:after="0" w:line="240" w:lineRule="auto"/>
              <w:rPr>
                <w:rFonts w:asciiTheme="minorHAnsi" w:hAnsiTheme="minorHAnsi"/>
                <w:color w:val="E5004B"/>
              </w:rPr>
            </w:pPr>
            <w:r>
              <w:rPr>
                <w:rFonts w:asciiTheme="minorHAnsi" w:hAnsiTheme="minorHAnsi"/>
                <w:color w:val="E5004B"/>
              </w:rPr>
              <w:t>0.4.(2014_11_26) Verze se zapracovanou připomínkou MKP</w:t>
            </w:r>
            <w:r w:rsidR="003D5ED2">
              <w:rPr>
                <w:rFonts w:asciiTheme="minorHAnsi" w:hAnsiTheme="minorHAnsi"/>
                <w:color w:val="E5004B"/>
              </w:rPr>
              <w:t>_publik</w:t>
            </w:r>
            <w:bookmarkStart w:id="0" w:name="_GoBack"/>
            <w:bookmarkEnd w:id="0"/>
          </w:p>
        </w:tc>
      </w:tr>
    </w:tbl>
    <w:p w:rsidR="006C1EF1" w:rsidRDefault="006C1EF1" w:rsidP="002675C0">
      <w:pPr>
        <w:rPr>
          <w:b/>
          <w:color w:val="E5004B"/>
          <w:sz w:val="26"/>
          <w:szCs w:val="26"/>
        </w:rPr>
      </w:pPr>
    </w:p>
    <w:sectPr w:rsidR="006C1EF1" w:rsidSect="00DA14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87" w:rsidRDefault="005A5687" w:rsidP="00F06B0D">
      <w:pPr>
        <w:spacing w:after="0" w:line="240" w:lineRule="auto"/>
      </w:pPr>
      <w:r>
        <w:separator/>
      </w:r>
    </w:p>
  </w:endnote>
  <w:endnote w:type="continuationSeparator" w:id="0">
    <w:p w:rsidR="005A5687" w:rsidRDefault="005A5687" w:rsidP="00F0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252949"/>
      <w:docPartObj>
        <w:docPartGallery w:val="Page Numbers (Bottom of Page)"/>
        <w:docPartUnique/>
      </w:docPartObj>
    </w:sdtPr>
    <w:sdtEndPr/>
    <w:sdtContent>
      <w:p w:rsidR="00444D08" w:rsidRDefault="00885BD6">
        <w:pPr>
          <w:pStyle w:val="Zpat"/>
          <w:jc w:val="center"/>
        </w:pPr>
        <w:r>
          <w:fldChar w:fldCharType="begin"/>
        </w:r>
        <w:r w:rsidR="00444D08">
          <w:instrText>PAGE   \* MERGEFORMAT</w:instrText>
        </w:r>
        <w:r>
          <w:fldChar w:fldCharType="separate"/>
        </w:r>
        <w:r w:rsidR="003D5ED2">
          <w:rPr>
            <w:noProof/>
          </w:rPr>
          <w:t>7</w:t>
        </w:r>
        <w:r>
          <w:fldChar w:fldCharType="end"/>
        </w:r>
      </w:p>
    </w:sdtContent>
  </w:sdt>
  <w:p w:rsidR="00444D08" w:rsidRDefault="00444D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87" w:rsidRDefault="005A5687" w:rsidP="00F06B0D">
      <w:pPr>
        <w:spacing w:after="0" w:line="240" w:lineRule="auto"/>
      </w:pPr>
      <w:r>
        <w:separator/>
      </w:r>
    </w:p>
  </w:footnote>
  <w:footnote w:type="continuationSeparator" w:id="0">
    <w:p w:rsidR="005A5687" w:rsidRDefault="005A5687" w:rsidP="00F0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AB5"/>
    <w:multiLevelType w:val="hybridMultilevel"/>
    <w:tmpl w:val="71C86D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57EEE"/>
    <w:multiLevelType w:val="hybridMultilevel"/>
    <w:tmpl w:val="696E1BF6"/>
    <w:lvl w:ilvl="0" w:tplc="09F2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45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6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0C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8A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CB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29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66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5E5199"/>
    <w:multiLevelType w:val="hybridMultilevel"/>
    <w:tmpl w:val="5BECFE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6101A"/>
    <w:multiLevelType w:val="hybridMultilevel"/>
    <w:tmpl w:val="B98849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0519E"/>
    <w:multiLevelType w:val="hybridMultilevel"/>
    <w:tmpl w:val="B69C1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813A0"/>
    <w:multiLevelType w:val="hybridMultilevel"/>
    <w:tmpl w:val="286C0B8E"/>
    <w:lvl w:ilvl="0" w:tplc="908AA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E4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46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28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0D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8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D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64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CF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2F68DF"/>
    <w:multiLevelType w:val="hybridMultilevel"/>
    <w:tmpl w:val="0B8C5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63764"/>
    <w:multiLevelType w:val="hybridMultilevel"/>
    <w:tmpl w:val="75ACA1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FA2D1E"/>
    <w:multiLevelType w:val="hybridMultilevel"/>
    <w:tmpl w:val="1CB0DD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13E48"/>
    <w:multiLevelType w:val="hybridMultilevel"/>
    <w:tmpl w:val="07BE4D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775C1"/>
    <w:multiLevelType w:val="hybridMultilevel"/>
    <w:tmpl w:val="949CC81E"/>
    <w:lvl w:ilvl="0" w:tplc="D7CAFB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E0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AC2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CC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80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0D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69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A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6F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02B4A"/>
    <w:multiLevelType w:val="hybridMultilevel"/>
    <w:tmpl w:val="C26633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B473B9"/>
    <w:multiLevelType w:val="hybridMultilevel"/>
    <w:tmpl w:val="9FAE3F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E41A61"/>
    <w:multiLevelType w:val="hybridMultilevel"/>
    <w:tmpl w:val="429828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5B6A85"/>
    <w:multiLevelType w:val="hybridMultilevel"/>
    <w:tmpl w:val="9E34C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973DFD"/>
    <w:multiLevelType w:val="hybridMultilevel"/>
    <w:tmpl w:val="AE6630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1C6774"/>
    <w:multiLevelType w:val="hybridMultilevel"/>
    <w:tmpl w:val="374EF2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5E3978"/>
    <w:multiLevelType w:val="hybridMultilevel"/>
    <w:tmpl w:val="D7D82F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E239B7"/>
    <w:multiLevelType w:val="hybridMultilevel"/>
    <w:tmpl w:val="AC5A98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B141AC"/>
    <w:multiLevelType w:val="hybridMultilevel"/>
    <w:tmpl w:val="307C4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717CD9"/>
    <w:multiLevelType w:val="hybridMultilevel"/>
    <w:tmpl w:val="A636D3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94124F"/>
    <w:multiLevelType w:val="hybridMultilevel"/>
    <w:tmpl w:val="20C235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974C11"/>
    <w:multiLevelType w:val="hybridMultilevel"/>
    <w:tmpl w:val="D2A8F5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F0E73"/>
    <w:multiLevelType w:val="hybridMultilevel"/>
    <w:tmpl w:val="170C85B8"/>
    <w:lvl w:ilvl="0" w:tplc="806E9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E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2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20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45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8B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4D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2F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A8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83615F6"/>
    <w:multiLevelType w:val="hybridMultilevel"/>
    <w:tmpl w:val="7B9CA3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192E81"/>
    <w:multiLevelType w:val="hybridMultilevel"/>
    <w:tmpl w:val="78ACBC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452FD"/>
    <w:multiLevelType w:val="hybridMultilevel"/>
    <w:tmpl w:val="F8741B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F736B2"/>
    <w:multiLevelType w:val="hybridMultilevel"/>
    <w:tmpl w:val="111A5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24235"/>
    <w:multiLevelType w:val="hybridMultilevel"/>
    <w:tmpl w:val="7B74A5AA"/>
    <w:lvl w:ilvl="0" w:tplc="F2BA4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AE02D3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678D9E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4C2D012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F44148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9E6AC3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8389FA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720A6DD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7A2413F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3F23377"/>
    <w:multiLevelType w:val="hybridMultilevel"/>
    <w:tmpl w:val="47B07B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242C4D"/>
    <w:multiLevelType w:val="hybridMultilevel"/>
    <w:tmpl w:val="773CA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82796E"/>
    <w:multiLevelType w:val="hybridMultilevel"/>
    <w:tmpl w:val="63504E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544641"/>
    <w:multiLevelType w:val="hybridMultilevel"/>
    <w:tmpl w:val="D3A60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04DDF"/>
    <w:multiLevelType w:val="hybridMultilevel"/>
    <w:tmpl w:val="5D1C7268"/>
    <w:lvl w:ilvl="0" w:tplc="78BE9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AB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0B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CD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AC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E5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AA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7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47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33B19F4"/>
    <w:multiLevelType w:val="hybridMultilevel"/>
    <w:tmpl w:val="C19855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E43950"/>
    <w:multiLevelType w:val="hybridMultilevel"/>
    <w:tmpl w:val="D9646C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FF3403"/>
    <w:multiLevelType w:val="hybridMultilevel"/>
    <w:tmpl w:val="4D08A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B81D2C"/>
    <w:multiLevelType w:val="hybridMultilevel"/>
    <w:tmpl w:val="C4405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52C79"/>
    <w:multiLevelType w:val="hybridMultilevel"/>
    <w:tmpl w:val="020A9E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86E6A"/>
    <w:multiLevelType w:val="hybridMultilevel"/>
    <w:tmpl w:val="38988F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1D49C5"/>
    <w:multiLevelType w:val="hybridMultilevel"/>
    <w:tmpl w:val="B1F0D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A42AF"/>
    <w:multiLevelType w:val="hybridMultilevel"/>
    <w:tmpl w:val="EC8A2C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EA1A9B"/>
    <w:multiLevelType w:val="hybridMultilevel"/>
    <w:tmpl w:val="E6F834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3"/>
  </w:num>
  <w:num w:numId="4">
    <w:abstractNumId w:val="35"/>
  </w:num>
  <w:num w:numId="5">
    <w:abstractNumId w:val="38"/>
  </w:num>
  <w:num w:numId="6">
    <w:abstractNumId w:val="15"/>
  </w:num>
  <w:num w:numId="7">
    <w:abstractNumId w:val="26"/>
  </w:num>
  <w:num w:numId="8">
    <w:abstractNumId w:val="8"/>
  </w:num>
  <w:num w:numId="9">
    <w:abstractNumId w:val="9"/>
  </w:num>
  <w:num w:numId="10">
    <w:abstractNumId w:val="36"/>
  </w:num>
  <w:num w:numId="11">
    <w:abstractNumId w:val="13"/>
  </w:num>
  <w:num w:numId="12">
    <w:abstractNumId w:val="14"/>
  </w:num>
  <w:num w:numId="13">
    <w:abstractNumId w:val="19"/>
  </w:num>
  <w:num w:numId="14">
    <w:abstractNumId w:val="0"/>
  </w:num>
  <w:num w:numId="15">
    <w:abstractNumId w:val="25"/>
  </w:num>
  <w:num w:numId="16">
    <w:abstractNumId w:val="37"/>
  </w:num>
  <w:num w:numId="17">
    <w:abstractNumId w:val="12"/>
  </w:num>
  <w:num w:numId="18">
    <w:abstractNumId w:val="4"/>
  </w:num>
  <w:num w:numId="19">
    <w:abstractNumId w:val="24"/>
  </w:num>
  <w:num w:numId="20">
    <w:abstractNumId w:val="7"/>
  </w:num>
  <w:num w:numId="21">
    <w:abstractNumId w:val="18"/>
  </w:num>
  <w:num w:numId="22">
    <w:abstractNumId w:val="20"/>
  </w:num>
  <w:num w:numId="23">
    <w:abstractNumId w:val="2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1"/>
  </w:num>
  <w:num w:numId="28">
    <w:abstractNumId w:val="29"/>
  </w:num>
  <w:num w:numId="29">
    <w:abstractNumId w:val="6"/>
  </w:num>
  <w:num w:numId="30">
    <w:abstractNumId w:val="27"/>
  </w:num>
  <w:num w:numId="31">
    <w:abstractNumId w:val="39"/>
  </w:num>
  <w:num w:numId="32">
    <w:abstractNumId w:val="31"/>
  </w:num>
  <w:num w:numId="33">
    <w:abstractNumId w:val="42"/>
  </w:num>
  <w:num w:numId="34">
    <w:abstractNumId w:val="41"/>
  </w:num>
  <w:num w:numId="35">
    <w:abstractNumId w:val="1"/>
  </w:num>
  <w:num w:numId="36">
    <w:abstractNumId w:val="11"/>
  </w:num>
  <w:num w:numId="37">
    <w:abstractNumId w:val="33"/>
  </w:num>
  <w:num w:numId="38">
    <w:abstractNumId w:val="16"/>
  </w:num>
  <w:num w:numId="39">
    <w:abstractNumId w:val="23"/>
  </w:num>
  <w:num w:numId="40">
    <w:abstractNumId w:val="40"/>
  </w:num>
  <w:num w:numId="41">
    <w:abstractNumId w:val="5"/>
  </w:num>
  <w:num w:numId="42">
    <w:abstractNumId w:val="30"/>
  </w:num>
  <w:num w:numId="43">
    <w:abstractNumId w:val="10"/>
  </w:num>
  <w:num w:numId="44">
    <w:abstractNumId w:val="17"/>
  </w:num>
  <w:num w:numId="45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FB"/>
    <w:rsid w:val="00003869"/>
    <w:rsid w:val="00005869"/>
    <w:rsid w:val="0001017F"/>
    <w:rsid w:val="00012CED"/>
    <w:rsid w:val="000172FD"/>
    <w:rsid w:val="0002128D"/>
    <w:rsid w:val="000227F9"/>
    <w:rsid w:val="0003588E"/>
    <w:rsid w:val="000402DC"/>
    <w:rsid w:val="00042B1C"/>
    <w:rsid w:val="000467FF"/>
    <w:rsid w:val="000471C5"/>
    <w:rsid w:val="000503F2"/>
    <w:rsid w:val="0005789D"/>
    <w:rsid w:val="00064F06"/>
    <w:rsid w:val="00065268"/>
    <w:rsid w:val="000676A5"/>
    <w:rsid w:val="000703D5"/>
    <w:rsid w:val="00083710"/>
    <w:rsid w:val="000863DB"/>
    <w:rsid w:val="0008685C"/>
    <w:rsid w:val="000972ED"/>
    <w:rsid w:val="000A42F5"/>
    <w:rsid w:val="000A63A5"/>
    <w:rsid w:val="000A6C00"/>
    <w:rsid w:val="000B234A"/>
    <w:rsid w:val="000C180F"/>
    <w:rsid w:val="000C60AC"/>
    <w:rsid w:val="000C6A46"/>
    <w:rsid w:val="000D1E33"/>
    <w:rsid w:val="000D2CA0"/>
    <w:rsid w:val="000D7AFD"/>
    <w:rsid w:val="000E0C91"/>
    <w:rsid w:val="000E27ED"/>
    <w:rsid w:val="000E313A"/>
    <w:rsid w:val="000E7D6E"/>
    <w:rsid w:val="000F24A6"/>
    <w:rsid w:val="000F4714"/>
    <w:rsid w:val="000F6A23"/>
    <w:rsid w:val="00100352"/>
    <w:rsid w:val="00102166"/>
    <w:rsid w:val="00102B14"/>
    <w:rsid w:val="00105251"/>
    <w:rsid w:val="001055BA"/>
    <w:rsid w:val="00124FD1"/>
    <w:rsid w:val="001446EB"/>
    <w:rsid w:val="00146F7D"/>
    <w:rsid w:val="00150006"/>
    <w:rsid w:val="001616CB"/>
    <w:rsid w:val="001645D5"/>
    <w:rsid w:val="001729FC"/>
    <w:rsid w:val="00174A35"/>
    <w:rsid w:val="0018021E"/>
    <w:rsid w:val="00180245"/>
    <w:rsid w:val="001915BF"/>
    <w:rsid w:val="00196AF4"/>
    <w:rsid w:val="00197611"/>
    <w:rsid w:val="001978E1"/>
    <w:rsid w:val="001B1B12"/>
    <w:rsid w:val="001B39B7"/>
    <w:rsid w:val="001C06C3"/>
    <w:rsid w:val="001C4510"/>
    <w:rsid w:val="001C5775"/>
    <w:rsid w:val="001D1039"/>
    <w:rsid w:val="001D15E8"/>
    <w:rsid w:val="001D2CDB"/>
    <w:rsid w:val="001D59F5"/>
    <w:rsid w:val="001E0A05"/>
    <w:rsid w:val="001E67C0"/>
    <w:rsid w:val="001F137A"/>
    <w:rsid w:val="001F7717"/>
    <w:rsid w:val="00201604"/>
    <w:rsid w:val="00211AF1"/>
    <w:rsid w:val="0021354A"/>
    <w:rsid w:val="00214FEE"/>
    <w:rsid w:val="00215A6C"/>
    <w:rsid w:val="00220000"/>
    <w:rsid w:val="00222570"/>
    <w:rsid w:val="00227FE3"/>
    <w:rsid w:val="002324E7"/>
    <w:rsid w:val="00232EEB"/>
    <w:rsid w:val="00236A31"/>
    <w:rsid w:val="00240777"/>
    <w:rsid w:val="00241626"/>
    <w:rsid w:val="00242D9F"/>
    <w:rsid w:val="002522F2"/>
    <w:rsid w:val="002541D9"/>
    <w:rsid w:val="00257696"/>
    <w:rsid w:val="0026711B"/>
    <w:rsid w:val="002675C0"/>
    <w:rsid w:val="002722BF"/>
    <w:rsid w:val="00273C13"/>
    <w:rsid w:val="0027492C"/>
    <w:rsid w:val="00281636"/>
    <w:rsid w:val="002907A8"/>
    <w:rsid w:val="00290B82"/>
    <w:rsid w:val="00291979"/>
    <w:rsid w:val="0029684A"/>
    <w:rsid w:val="00297DD6"/>
    <w:rsid w:val="002A00C3"/>
    <w:rsid w:val="002A2D01"/>
    <w:rsid w:val="002A59F3"/>
    <w:rsid w:val="002C3401"/>
    <w:rsid w:val="002C793D"/>
    <w:rsid w:val="002D243A"/>
    <w:rsid w:val="002E1013"/>
    <w:rsid w:val="002E3609"/>
    <w:rsid w:val="003037D2"/>
    <w:rsid w:val="003138BF"/>
    <w:rsid w:val="00333A9B"/>
    <w:rsid w:val="00336539"/>
    <w:rsid w:val="00346954"/>
    <w:rsid w:val="00346D36"/>
    <w:rsid w:val="0035407B"/>
    <w:rsid w:val="00361EEA"/>
    <w:rsid w:val="003628A6"/>
    <w:rsid w:val="00362AE8"/>
    <w:rsid w:val="00367570"/>
    <w:rsid w:val="00371EDF"/>
    <w:rsid w:val="0037410D"/>
    <w:rsid w:val="003949B8"/>
    <w:rsid w:val="003979AB"/>
    <w:rsid w:val="003B3242"/>
    <w:rsid w:val="003D5B93"/>
    <w:rsid w:val="003D5ED2"/>
    <w:rsid w:val="003E07E5"/>
    <w:rsid w:val="003E55F3"/>
    <w:rsid w:val="003F10BE"/>
    <w:rsid w:val="00400F01"/>
    <w:rsid w:val="004043C1"/>
    <w:rsid w:val="0041116E"/>
    <w:rsid w:val="004259AC"/>
    <w:rsid w:val="00426C54"/>
    <w:rsid w:val="004273E8"/>
    <w:rsid w:val="00432CC9"/>
    <w:rsid w:val="0043348E"/>
    <w:rsid w:val="00434452"/>
    <w:rsid w:val="00434D81"/>
    <w:rsid w:val="004357F0"/>
    <w:rsid w:val="004409A7"/>
    <w:rsid w:val="004427A9"/>
    <w:rsid w:val="00444D08"/>
    <w:rsid w:val="00445BD0"/>
    <w:rsid w:val="004609F0"/>
    <w:rsid w:val="00461358"/>
    <w:rsid w:val="0046493C"/>
    <w:rsid w:val="004658BB"/>
    <w:rsid w:val="00467F9D"/>
    <w:rsid w:val="00470804"/>
    <w:rsid w:val="00474831"/>
    <w:rsid w:val="00475FA2"/>
    <w:rsid w:val="004850A6"/>
    <w:rsid w:val="00486EE7"/>
    <w:rsid w:val="00487CD8"/>
    <w:rsid w:val="00487D54"/>
    <w:rsid w:val="00492EC1"/>
    <w:rsid w:val="00495A38"/>
    <w:rsid w:val="004A7D8B"/>
    <w:rsid w:val="004A7D9C"/>
    <w:rsid w:val="004B2A4A"/>
    <w:rsid w:val="004C245E"/>
    <w:rsid w:val="004D624C"/>
    <w:rsid w:val="004E50AC"/>
    <w:rsid w:val="004E5610"/>
    <w:rsid w:val="004F038B"/>
    <w:rsid w:val="004F571E"/>
    <w:rsid w:val="00504AFB"/>
    <w:rsid w:val="00504BC3"/>
    <w:rsid w:val="0050641C"/>
    <w:rsid w:val="00510970"/>
    <w:rsid w:val="005167D8"/>
    <w:rsid w:val="00522BAF"/>
    <w:rsid w:val="00523DF2"/>
    <w:rsid w:val="0052587B"/>
    <w:rsid w:val="0053672F"/>
    <w:rsid w:val="00537027"/>
    <w:rsid w:val="0054307E"/>
    <w:rsid w:val="00544E7F"/>
    <w:rsid w:val="00550130"/>
    <w:rsid w:val="00551B10"/>
    <w:rsid w:val="005527DB"/>
    <w:rsid w:val="00552A70"/>
    <w:rsid w:val="005618B2"/>
    <w:rsid w:val="005625FC"/>
    <w:rsid w:val="00574052"/>
    <w:rsid w:val="005751DE"/>
    <w:rsid w:val="0058067A"/>
    <w:rsid w:val="00584898"/>
    <w:rsid w:val="005A19AF"/>
    <w:rsid w:val="005A1D62"/>
    <w:rsid w:val="005A40E8"/>
    <w:rsid w:val="005A5687"/>
    <w:rsid w:val="005C0734"/>
    <w:rsid w:val="005C263B"/>
    <w:rsid w:val="005C66A7"/>
    <w:rsid w:val="005D15E4"/>
    <w:rsid w:val="005D7B61"/>
    <w:rsid w:val="005E2D79"/>
    <w:rsid w:val="005E5C55"/>
    <w:rsid w:val="005F598D"/>
    <w:rsid w:val="005F691F"/>
    <w:rsid w:val="00604AB3"/>
    <w:rsid w:val="00615E64"/>
    <w:rsid w:val="006176F8"/>
    <w:rsid w:val="00620B2D"/>
    <w:rsid w:val="00622966"/>
    <w:rsid w:val="00632D9E"/>
    <w:rsid w:val="00637070"/>
    <w:rsid w:val="0064192A"/>
    <w:rsid w:val="00646576"/>
    <w:rsid w:val="00650BE6"/>
    <w:rsid w:val="00652061"/>
    <w:rsid w:val="00653289"/>
    <w:rsid w:val="00657E3D"/>
    <w:rsid w:val="00663484"/>
    <w:rsid w:val="00671959"/>
    <w:rsid w:val="00675065"/>
    <w:rsid w:val="006761D1"/>
    <w:rsid w:val="0068524F"/>
    <w:rsid w:val="00687D64"/>
    <w:rsid w:val="006966F0"/>
    <w:rsid w:val="006A0028"/>
    <w:rsid w:val="006A028E"/>
    <w:rsid w:val="006A1387"/>
    <w:rsid w:val="006A4579"/>
    <w:rsid w:val="006B3336"/>
    <w:rsid w:val="006C1EF1"/>
    <w:rsid w:val="006C3464"/>
    <w:rsid w:val="006D54C7"/>
    <w:rsid w:val="006D6C94"/>
    <w:rsid w:val="006F2799"/>
    <w:rsid w:val="00705FE9"/>
    <w:rsid w:val="0070737B"/>
    <w:rsid w:val="00707388"/>
    <w:rsid w:val="0072017B"/>
    <w:rsid w:val="00723B8E"/>
    <w:rsid w:val="007273B7"/>
    <w:rsid w:val="00731779"/>
    <w:rsid w:val="00732418"/>
    <w:rsid w:val="0073272A"/>
    <w:rsid w:val="00733FDD"/>
    <w:rsid w:val="00734B49"/>
    <w:rsid w:val="00734F30"/>
    <w:rsid w:val="007413C7"/>
    <w:rsid w:val="00750477"/>
    <w:rsid w:val="00752F25"/>
    <w:rsid w:val="0076534E"/>
    <w:rsid w:val="00767CBD"/>
    <w:rsid w:val="00772E32"/>
    <w:rsid w:val="00773505"/>
    <w:rsid w:val="00774175"/>
    <w:rsid w:val="0077472C"/>
    <w:rsid w:val="00776867"/>
    <w:rsid w:val="00790ABA"/>
    <w:rsid w:val="007925D4"/>
    <w:rsid w:val="00796A50"/>
    <w:rsid w:val="007974EA"/>
    <w:rsid w:val="007A15FB"/>
    <w:rsid w:val="007A1825"/>
    <w:rsid w:val="007A2F8C"/>
    <w:rsid w:val="007A4C3C"/>
    <w:rsid w:val="007A58CB"/>
    <w:rsid w:val="007A6337"/>
    <w:rsid w:val="007B5602"/>
    <w:rsid w:val="007B57CB"/>
    <w:rsid w:val="007B79B5"/>
    <w:rsid w:val="007C1E11"/>
    <w:rsid w:val="007C5BA2"/>
    <w:rsid w:val="007D2D30"/>
    <w:rsid w:val="007E04E9"/>
    <w:rsid w:val="007E2D50"/>
    <w:rsid w:val="007E48C6"/>
    <w:rsid w:val="007E55E5"/>
    <w:rsid w:val="007E5AD7"/>
    <w:rsid w:val="007F14EB"/>
    <w:rsid w:val="00813DF9"/>
    <w:rsid w:val="008171DA"/>
    <w:rsid w:val="008173F2"/>
    <w:rsid w:val="00821BA5"/>
    <w:rsid w:val="00823FDD"/>
    <w:rsid w:val="00824641"/>
    <w:rsid w:val="008309FA"/>
    <w:rsid w:val="0083351F"/>
    <w:rsid w:val="00850FD5"/>
    <w:rsid w:val="00851110"/>
    <w:rsid w:val="00856530"/>
    <w:rsid w:val="00857E74"/>
    <w:rsid w:val="00862CBA"/>
    <w:rsid w:val="00864491"/>
    <w:rsid w:val="008703C4"/>
    <w:rsid w:val="00875B16"/>
    <w:rsid w:val="00877C3D"/>
    <w:rsid w:val="00884927"/>
    <w:rsid w:val="00885BD6"/>
    <w:rsid w:val="00886FBB"/>
    <w:rsid w:val="00894C1E"/>
    <w:rsid w:val="008A2D6F"/>
    <w:rsid w:val="008A3FA5"/>
    <w:rsid w:val="008A634B"/>
    <w:rsid w:val="008A6DCE"/>
    <w:rsid w:val="008C02A8"/>
    <w:rsid w:val="008C5AAC"/>
    <w:rsid w:val="008E01D3"/>
    <w:rsid w:val="008F2C35"/>
    <w:rsid w:val="008F394A"/>
    <w:rsid w:val="008F40B4"/>
    <w:rsid w:val="008F556D"/>
    <w:rsid w:val="0090278D"/>
    <w:rsid w:val="009032B1"/>
    <w:rsid w:val="00915375"/>
    <w:rsid w:val="0091738E"/>
    <w:rsid w:val="0092094B"/>
    <w:rsid w:val="00930A82"/>
    <w:rsid w:val="00931951"/>
    <w:rsid w:val="00945206"/>
    <w:rsid w:val="00950FFD"/>
    <w:rsid w:val="009528F1"/>
    <w:rsid w:val="0095675B"/>
    <w:rsid w:val="00957722"/>
    <w:rsid w:val="0096029F"/>
    <w:rsid w:val="00966F3A"/>
    <w:rsid w:val="00967AEE"/>
    <w:rsid w:val="00974A8D"/>
    <w:rsid w:val="009809C8"/>
    <w:rsid w:val="00983917"/>
    <w:rsid w:val="009841AC"/>
    <w:rsid w:val="00994016"/>
    <w:rsid w:val="009945E7"/>
    <w:rsid w:val="009A1FA2"/>
    <w:rsid w:val="009A26EC"/>
    <w:rsid w:val="009A5D76"/>
    <w:rsid w:val="009A7C93"/>
    <w:rsid w:val="009C021C"/>
    <w:rsid w:val="009C501C"/>
    <w:rsid w:val="009D4E0D"/>
    <w:rsid w:val="009E0F33"/>
    <w:rsid w:val="009E309B"/>
    <w:rsid w:val="009E591A"/>
    <w:rsid w:val="009E6DE0"/>
    <w:rsid w:val="009F23B5"/>
    <w:rsid w:val="009F7FC0"/>
    <w:rsid w:val="00A052EC"/>
    <w:rsid w:val="00A0543D"/>
    <w:rsid w:val="00A063B1"/>
    <w:rsid w:val="00A066BB"/>
    <w:rsid w:val="00A10879"/>
    <w:rsid w:val="00A126A7"/>
    <w:rsid w:val="00A13D85"/>
    <w:rsid w:val="00A23499"/>
    <w:rsid w:val="00A404E9"/>
    <w:rsid w:val="00A40C26"/>
    <w:rsid w:val="00A415E6"/>
    <w:rsid w:val="00A46A03"/>
    <w:rsid w:val="00A520F6"/>
    <w:rsid w:val="00A62DE0"/>
    <w:rsid w:val="00A62ED4"/>
    <w:rsid w:val="00A6380B"/>
    <w:rsid w:val="00A6508D"/>
    <w:rsid w:val="00A673ED"/>
    <w:rsid w:val="00A93CA2"/>
    <w:rsid w:val="00A94810"/>
    <w:rsid w:val="00A95CB9"/>
    <w:rsid w:val="00A978A6"/>
    <w:rsid w:val="00AC167E"/>
    <w:rsid w:val="00AC3141"/>
    <w:rsid w:val="00AC3829"/>
    <w:rsid w:val="00AC4114"/>
    <w:rsid w:val="00AC435D"/>
    <w:rsid w:val="00AD0075"/>
    <w:rsid w:val="00AD5014"/>
    <w:rsid w:val="00AE2E71"/>
    <w:rsid w:val="00AE3CDA"/>
    <w:rsid w:val="00AE40A2"/>
    <w:rsid w:val="00AE49A7"/>
    <w:rsid w:val="00AE54AF"/>
    <w:rsid w:val="00AE77BD"/>
    <w:rsid w:val="00AF26B5"/>
    <w:rsid w:val="00AF5225"/>
    <w:rsid w:val="00AF69B2"/>
    <w:rsid w:val="00B007B6"/>
    <w:rsid w:val="00B03B1B"/>
    <w:rsid w:val="00B16181"/>
    <w:rsid w:val="00B2067F"/>
    <w:rsid w:val="00B22892"/>
    <w:rsid w:val="00B23464"/>
    <w:rsid w:val="00B23DE1"/>
    <w:rsid w:val="00B316C6"/>
    <w:rsid w:val="00B329FE"/>
    <w:rsid w:val="00B453CB"/>
    <w:rsid w:val="00B54590"/>
    <w:rsid w:val="00B55072"/>
    <w:rsid w:val="00B749CE"/>
    <w:rsid w:val="00B752BC"/>
    <w:rsid w:val="00B826CA"/>
    <w:rsid w:val="00B877B1"/>
    <w:rsid w:val="00B87A63"/>
    <w:rsid w:val="00B908F5"/>
    <w:rsid w:val="00B92E82"/>
    <w:rsid w:val="00B93A07"/>
    <w:rsid w:val="00B9486D"/>
    <w:rsid w:val="00B94B83"/>
    <w:rsid w:val="00B950C4"/>
    <w:rsid w:val="00B9536E"/>
    <w:rsid w:val="00B95A11"/>
    <w:rsid w:val="00BA2E75"/>
    <w:rsid w:val="00BA5F6F"/>
    <w:rsid w:val="00BA7488"/>
    <w:rsid w:val="00BB3112"/>
    <w:rsid w:val="00BB3529"/>
    <w:rsid w:val="00BB5CAC"/>
    <w:rsid w:val="00BC32D1"/>
    <w:rsid w:val="00BC3399"/>
    <w:rsid w:val="00BE0E63"/>
    <w:rsid w:val="00BE1A6E"/>
    <w:rsid w:val="00BE31A5"/>
    <w:rsid w:val="00BE5E2C"/>
    <w:rsid w:val="00BE769B"/>
    <w:rsid w:val="00BF4D1D"/>
    <w:rsid w:val="00BF5CFE"/>
    <w:rsid w:val="00C040BA"/>
    <w:rsid w:val="00C0432E"/>
    <w:rsid w:val="00C077AE"/>
    <w:rsid w:val="00C127A5"/>
    <w:rsid w:val="00C24C62"/>
    <w:rsid w:val="00C31AB8"/>
    <w:rsid w:val="00C40737"/>
    <w:rsid w:val="00C431A0"/>
    <w:rsid w:val="00C51E48"/>
    <w:rsid w:val="00C530C5"/>
    <w:rsid w:val="00C534F5"/>
    <w:rsid w:val="00C547D9"/>
    <w:rsid w:val="00C55190"/>
    <w:rsid w:val="00C6165C"/>
    <w:rsid w:val="00C7085D"/>
    <w:rsid w:val="00C72F7A"/>
    <w:rsid w:val="00C7388C"/>
    <w:rsid w:val="00C837C5"/>
    <w:rsid w:val="00C86A87"/>
    <w:rsid w:val="00C9124A"/>
    <w:rsid w:val="00C91FB2"/>
    <w:rsid w:val="00C920EB"/>
    <w:rsid w:val="00CA151B"/>
    <w:rsid w:val="00CA2FD8"/>
    <w:rsid w:val="00CA7392"/>
    <w:rsid w:val="00CC3FF1"/>
    <w:rsid w:val="00CC5170"/>
    <w:rsid w:val="00CC7ADF"/>
    <w:rsid w:val="00CD3D1B"/>
    <w:rsid w:val="00CD438E"/>
    <w:rsid w:val="00CE0EBE"/>
    <w:rsid w:val="00CF1551"/>
    <w:rsid w:val="00CF3EA0"/>
    <w:rsid w:val="00CF4719"/>
    <w:rsid w:val="00D02FE1"/>
    <w:rsid w:val="00D031DB"/>
    <w:rsid w:val="00D03386"/>
    <w:rsid w:val="00D05640"/>
    <w:rsid w:val="00D074AB"/>
    <w:rsid w:val="00D1131D"/>
    <w:rsid w:val="00D130C3"/>
    <w:rsid w:val="00D16375"/>
    <w:rsid w:val="00D2095D"/>
    <w:rsid w:val="00D20D18"/>
    <w:rsid w:val="00D22C13"/>
    <w:rsid w:val="00D274B7"/>
    <w:rsid w:val="00D332A3"/>
    <w:rsid w:val="00D33E3D"/>
    <w:rsid w:val="00D36136"/>
    <w:rsid w:val="00D3757F"/>
    <w:rsid w:val="00D40C53"/>
    <w:rsid w:val="00D41923"/>
    <w:rsid w:val="00D42DC0"/>
    <w:rsid w:val="00D52971"/>
    <w:rsid w:val="00D53DED"/>
    <w:rsid w:val="00D5725E"/>
    <w:rsid w:val="00D60FF3"/>
    <w:rsid w:val="00D644B6"/>
    <w:rsid w:val="00D66A48"/>
    <w:rsid w:val="00D80212"/>
    <w:rsid w:val="00D83AA7"/>
    <w:rsid w:val="00D83FE6"/>
    <w:rsid w:val="00DA146D"/>
    <w:rsid w:val="00DA2D4B"/>
    <w:rsid w:val="00DA339D"/>
    <w:rsid w:val="00DA64E1"/>
    <w:rsid w:val="00DA6824"/>
    <w:rsid w:val="00DB0007"/>
    <w:rsid w:val="00DB5561"/>
    <w:rsid w:val="00DC0134"/>
    <w:rsid w:val="00DC4FE8"/>
    <w:rsid w:val="00DD0C3D"/>
    <w:rsid w:val="00DD104C"/>
    <w:rsid w:val="00DD1054"/>
    <w:rsid w:val="00DD1924"/>
    <w:rsid w:val="00DE1E57"/>
    <w:rsid w:val="00DE2CF2"/>
    <w:rsid w:val="00DE7058"/>
    <w:rsid w:val="00DE78B4"/>
    <w:rsid w:val="00DE7C57"/>
    <w:rsid w:val="00DF20D4"/>
    <w:rsid w:val="00DF28F2"/>
    <w:rsid w:val="00DF48C3"/>
    <w:rsid w:val="00DF5AED"/>
    <w:rsid w:val="00E076BF"/>
    <w:rsid w:val="00E104BE"/>
    <w:rsid w:val="00E12EB7"/>
    <w:rsid w:val="00E13816"/>
    <w:rsid w:val="00E20305"/>
    <w:rsid w:val="00E242A0"/>
    <w:rsid w:val="00E27D81"/>
    <w:rsid w:val="00E34A99"/>
    <w:rsid w:val="00E40919"/>
    <w:rsid w:val="00E47F35"/>
    <w:rsid w:val="00E51420"/>
    <w:rsid w:val="00E54235"/>
    <w:rsid w:val="00E6019C"/>
    <w:rsid w:val="00E6191E"/>
    <w:rsid w:val="00E70632"/>
    <w:rsid w:val="00E77481"/>
    <w:rsid w:val="00E84E51"/>
    <w:rsid w:val="00E966A5"/>
    <w:rsid w:val="00E97457"/>
    <w:rsid w:val="00EA408C"/>
    <w:rsid w:val="00EB2800"/>
    <w:rsid w:val="00EC3E4A"/>
    <w:rsid w:val="00EC6664"/>
    <w:rsid w:val="00EC67C2"/>
    <w:rsid w:val="00ED2E55"/>
    <w:rsid w:val="00EE4711"/>
    <w:rsid w:val="00EE4F42"/>
    <w:rsid w:val="00EF3EA9"/>
    <w:rsid w:val="00F05419"/>
    <w:rsid w:val="00F062EE"/>
    <w:rsid w:val="00F066AE"/>
    <w:rsid w:val="00F06B0D"/>
    <w:rsid w:val="00F10D3F"/>
    <w:rsid w:val="00F11F6A"/>
    <w:rsid w:val="00F12157"/>
    <w:rsid w:val="00F12DE5"/>
    <w:rsid w:val="00F2265B"/>
    <w:rsid w:val="00F26237"/>
    <w:rsid w:val="00F30597"/>
    <w:rsid w:val="00F360A1"/>
    <w:rsid w:val="00F414E5"/>
    <w:rsid w:val="00F4542A"/>
    <w:rsid w:val="00F45DEF"/>
    <w:rsid w:val="00F552DB"/>
    <w:rsid w:val="00F56B5E"/>
    <w:rsid w:val="00F667C4"/>
    <w:rsid w:val="00F67BE3"/>
    <w:rsid w:val="00F730E2"/>
    <w:rsid w:val="00F855C9"/>
    <w:rsid w:val="00F85698"/>
    <w:rsid w:val="00F92876"/>
    <w:rsid w:val="00FA10A7"/>
    <w:rsid w:val="00FA3CF9"/>
    <w:rsid w:val="00FB31B4"/>
    <w:rsid w:val="00FD1756"/>
    <w:rsid w:val="00FD392F"/>
    <w:rsid w:val="00FE1373"/>
    <w:rsid w:val="00FE2CC7"/>
    <w:rsid w:val="00FE3316"/>
    <w:rsid w:val="00FE7BFC"/>
    <w:rsid w:val="00FF14BB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0E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A40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F5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0E8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7A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1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A1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FD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F556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6B0D"/>
    <w:rPr>
      <w:rFonts w:cs="Times New Roman"/>
    </w:rPr>
  </w:style>
  <w:style w:type="paragraph" w:styleId="Zpat">
    <w:name w:val="footer"/>
    <w:basedOn w:val="Normln"/>
    <w:link w:val="Zpat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6B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B352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35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BB352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B3529"/>
    <w:rPr>
      <w:rFonts w:ascii="Calibri" w:eastAsia="Times New Roman" w:hAnsi="Calibri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rsid w:val="001F137A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D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D1"/>
    <w:rPr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26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F5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4590"/>
    <w:rPr>
      <w:rFonts w:ascii="Courier New" w:eastAsiaTheme="minorHAnsi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E55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55F3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0E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A40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F5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0E8"/>
    <w:rPr>
      <w:rFonts w:ascii="Cambria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7A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A15F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7A15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FD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F556D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06B0D"/>
    <w:rPr>
      <w:rFonts w:cs="Times New Roman"/>
    </w:rPr>
  </w:style>
  <w:style w:type="paragraph" w:styleId="Zpat">
    <w:name w:val="footer"/>
    <w:basedOn w:val="Normln"/>
    <w:link w:val="ZpatChar"/>
    <w:uiPriority w:val="99"/>
    <w:rsid w:val="00F0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06B0D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B352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B3529"/>
    <w:rPr>
      <w:rFonts w:ascii="Times New Roman" w:hAnsi="Times New Roman" w:cs="Times New Roman"/>
      <w:sz w:val="24"/>
      <w:szCs w:val="24"/>
      <w:lang w:eastAsia="ar-SA" w:bidi="ar-SA"/>
    </w:rPr>
  </w:style>
  <w:style w:type="paragraph" w:styleId="Prosttext">
    <w:name w:val="Plain Text"/>
    <w:basedOn w:val="Normln"/>
    <w:link w:val="ProsttextChar"/>
    <w:uiPriority w:val="99"/>
    <w:rsid w:val="00BB3529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B3529"/>
    <w:rPr>
      <w:rFonts w:ascii="Calibri" w:eastAsia="Times New Roman" w:hAnsi="Calibri" w:cs="Times New Roman"/>
      <w:sz w:val="21"/>
      <w:szCs w:val="21"/>
    </w:rPr>
  </w:style>
  <w:style w:type="character" w:styleId="Sledovanodkaz">
    <w:name w:val="FollowedHyperlink"/>
    <w:basedOn w:val="Standardnpsmoodstavce"/>
    <w:uiPriority w:val="99"/>
    <w:semiHidden/>
    <w:rsid w:val="001F137A"/>
    <w:rPr>
      <w:rFonts w:cs="Times New Roman"/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C32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2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2D1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2D1"/>
    <w:rPr>
      <w:b/>
      <w:bCs/>
      <w:sz w:val="20"/>
      <w:szCs w:val="2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26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AF5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4590"/>
    <w:rPr>
      <w:rFonts w:ascii="Courier New" w:eastAsiaTheme="minorHAnsi" w:hAnsi="Courier New" w:cs="Courier New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E55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E55F3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5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6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61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329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9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09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5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0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2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9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9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6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6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0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</dc:creator>
  <cp:lastModifiedBy>Bohdana</cp:lastModifiedBy>
  <cp:revision>2</cp:revision>
  <cp:lastPrinted>2013-05-06T14:54:00Z</cp:lastPrinted>
  <dcterms:created xsi:type="dcterms:W3CDTF">2014-11-25T19:58:00Z</dcterms:created>
  <dcterms:modified xsi:type="dcterms:W3CDTF">2014-11-25T19:58:00Z</dcterms:modified>
</cp:coreProperties>
</file>